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6AD4" w14:textId="41541D07" w:rsidR="00F45B77" w:rsidRDefault="00F45B77">
      <w:pPr>
        <w:spacing w:after="0" w:line="232" w:lineRule="auto"/>
        <w:ind w:left="1072" w:right="927" w:firstLine="0"/>
        <w:jc w:val="center"/>
        <w:rPr>
          <w:rFonts w:ascii="Arial" w:hAnsi="Arial" w:cs="Arial"/>
          <w:b/>
        </w:rPr>
      </w:pPr>
    </w:p>
    <w:p w14:paraId="068C960F" w14:textId="77777777" w:rsidR="00F45B77" w:rsidRDefault="00F45B77">
      <w:pPr>
        <w:spacing w:after="0" w:line="232" w:lineRule="auto"/>
        <w:ind w:left="1072" w:right="927" w:firstLine="0"/>
        <w:jc w:val="center"/>
        <w:rPr>
          <w:rFonts w:ascii="Arial" w:hAnsi="Arial" w:cs="Arial"/>
          <w:b/>
        </w:rPr>
      </w:pPr>
    </w:p>
    <w:p w14:paraId="01D7D832" w14:textId="6BB6D848" w:rsidR="00F45B77" w:rsidRDefault="00F45B77">
      <w:pPr>
        <w:spacing w:after="0" w:line="232" w:lineRule="auto"/>
        <w:ind w:left="1072" w:right="927" w:firstLine="0"/>
        <w:jc w:val="center"/>
        <w:rPr>
          <w:rFonts w:ascii="Arial" w:hAnsi="Arial" w:cs="Arial"/>
          <w:b/>
        </w:rPr>
      </w:pPr>
      <w:r w:rsidRPr="00F45B77">
        <w:rPr>
          <w:rFonts w:ascii="Arial" w:hAnsi="Arial" w:cs="Arial"/>
          <w:b/>
          <w:noProof/>
        </w:rPr>
        <mc:AlternateContent>
          <mc:Choice Requires="wps">
            <w:drawing>
              <wp:anchor distT="45720" distB="45720" distL="114300" distR="114300" simplePos="0" relativeHeight="251659264" behindDoc="0" locked="0" layoutInCell="1" allowOverlap="1" wp14:anchorId="6574F4CC" wp14:editId="0818D74F">
                <wp:simplePos x="0" y="0"/>
                <wp:positionH relativeFrom="margin">
                  <wp:align>right</wp:align>
                </wp:positionH>
                <wp:positionV relativeFrom="paragraph">
                  <wp:posOffset>356235</wp:posOffset>
                </wp:positionV>
                <wp:extent cx="5715000" cy="523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23875"/>
                        </a:xfrm>
                        <a:prstGeom prst="rect">
                          <a:avLst/>
                        </a:prstGeom>
                        <a:solidFill>
                          <a:srgbClr val="00B0F0"/>
                        </a:solidFill>
                        <a:ln w="9525">
                          <a:solidFill>
                            <a:srgbClr val="00B0F0"/>
                          </a:solidFill>
                          <a:miter lim="800000"/>
                          <a:headEnd/>
                          <a:tailEnd/>
                        </a:ln>
                      </wps:spPr>
                      <wps:txbx>
                        <w:txbxContent>
                          <w:p w14:paraId="63CAEDCE" w14:textId="77777777" w:rsidR="00F45B77" w:rsidRPr="00424DC7" w:rsidRDefault="00F45B77" w:rsidP="00F45B77">
                            <w:pPr>
                              <w:spacing w:after="0" w:line="232" w:lineRule="auto"/>
                              <w:ind w:left="1072" w:right="927" w:firstLine="0"/>
                              <w:jc w:val="center"/>
                              <w:rPr>
                                <w:rFonts w:asciiTheme="minorHAnsi" w:hAnsiTheme="minorHAnsi" w:cs="Arial"/>
                                <w:sz w:val="28"/>
                                <w:szCs w:val="28"/>
                              </w:rPr>
                            </w:pPr>
                            <w:r w:rsidRPr="00424DC7">
                              <w:rPr>
                                <w:rFonts w:asciiTheme="minorHAnsi" w:hAnsiTheme="minorHAnsi" w:cs="Arial"/>
                                <w:b/>
                                <w:sz w:val="28"/>
                                <w:szCs w:val="28"/>
                              </w:rPr>
                              <w:t xml:space="preserve">Affordable Purchase Dwelling </w:t>
                            </w:r>
                            <w:proofErr w:type="gramStart"/>
                            <w:r w:rsidRPr="00424DC7">
                              <w:rPr>
                                <w:rFonts w:asciiTheme="minorHAnsi" w:hAnsiTheme="minorHAnsi" w:cs="Arial"/>
                                <w:b/>
                                <w:sz w:val="28"/>
                                <w:szCs w:val="28"/>
                              </w:rPr>
                              <w:t>Arrangements  Income</w:t>
                            </w:r>
                            <w:proofErr w:type="gramEnd"/>
                            <w:r w:rsidRPr="00424DC7">
                              <w:rPr>
                                <w:rFonts w:asciiTheme="minorHAnsi" w:hAnsiTheme="minorHAnsi" w:cs="Arial"/>
                                <w:b/>
                                <w:sz w:val="28"/>
                                <w:szCs w:val="28"/>
                              </w:rPr>
                              <w:t xml:space="preserve"> Assessment Policy</w:t>
                            </w:r>
                            <w:r w:rsidRPr="00424DC7">
                              <w:rPr>
                                <w:rFonts w:asciiTheme="minorHAnsi" w:hAnsiTheme="minorHAnsi" w:cs="Arial"/>
                                <w:b/>
                                <w:sz w:val="28"/>
                                <w:szCs w:val="28"/>
                                <w:vertAlign w:val="superscript"/>
                              </w:rPr>
                              <w:footnoteRef/>
                            </w:r>
                            <w:r w:rsidRPr="00424DC7">
                              <w:rPr>
                                <w:rFonts w:asciiTheme="minorHAnsi" w:hAnsiTheme="minorHAnsi" w:cs="Arial"/>
                                <w:b/>
                                <w:sz w:val="28"/>
                                <w:szCs w:val="28"/>
                              </w:rPr>
                              <w:t xml:space="preserve"> </w:t>
                            </w:r>
                          </w:p>
                          <w:p w14:paraId="7B11DD49" w14:textId="77777777" w:rsidR="00F45B77" w:rsidRPr="0020694D" w:rsidRDefault="00F45B77" w:rsidP="00F45B77">
                            <w:pPr>
                              <w:spacing w:after="0" w:line="259" w:lineRule="auto"/>
                              <w:ind w:left="0" w:right="0" w:firstLine="0"/>
                              <w:jc w:val="left"/>
                              <w:rPr>
                                <w:rFonts w:ascii="Arial" w:hAnsi="Arial" w:cs="Arial"/>
                              </w:rPr>
                            </w:pPr>
                            <w:r w:rsidRPr="0020694D">
                              <w:rPr>
                                <w:rFonts w:ascii="Arial" w:hAnsi="Arial" w:cs="Arial"/>
                              </w:rPr>
                              <w:t xml:space="preserve"> </w:t>
                            </w:r>
                          </w:p>
                          <w:p w14:paraId="020A7D3F" w14:textId="44AE2B75" w:rsidR="00F45B77" w:rsidRDefault="00F45B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6574F4CC" id="_x0000_t202" coordsize="21600,21600" o:spt="202" path="m,l,21600r21600,l21600,xe">
                <v:stroke joinstyle="miter"/>
                <v:path gradientshapeok="t" o:connecttype="rect"/>
              </v:shapetype>
              <v:shape id="Text Box 2" o:spid="_x0000_s1026" type="#_x0000_t202" style="position:absolute;left:0;text-align:left;margin-left:398.8pt;margin-top:28.05pt;width:450pt;height:41.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" fillcolor="#00b0f0" strokecolor="#00b0f0">
                <v:textbox>
                  <w:txbxContent>
                    <w:p w14:paraId="63CAEDCE" w14:textId="77777777" w:rsidR="00F45B77" w:rsidRPr="00424DC7" w:rsidRDefault="00F45B77" w:rsidP="00F45B77">
                      <w:pPr>
                        <w:spacing w:after="0" w:line="232" w:lineRule="auto"/>
                        <w:ind w:left="1072" w:right="927" w:firstLine="0"/>
                        <w:jc w:val="center"/>
                        <w:rPr>
                          <w:rFonts w:asciiTheme="minorHAnsi" w:hAnsiTheme="minorHAnsi" w:cs="Arial"/>
                          <w:sz w:val="28"/>
                          <w:szCs w:val="28"/>
                        </w:rPr>
                      </w:pPr>
                      <w:r w:rsidRPr="00424DC7">
                        <w:rPr>
                          <w:rFonts w:asciiTheme="minorHAnsi" w:hAnsiTheme="minorHAnsi" w:cs="Arial"/>
                          <w:b/>
                          <w:sz w:val="28"/>
                          <w:szCs w:val="28"/>
                        </w:rPr>
                        <w:t xml:space="preserve">Affordable Purchase Dwelling </w:t>
                      </w:r>
                      <w:proofErr w:type="gramStart"/>
                      <w:r w:rsidRPr="00424DC7">
                        <w:rPr>
                          <w:rFonts w:asciiTheme="minorHAnsi" w:hAnsiTheme="minorHAnsi" w:cs="Arial"/>
                          <w:b/>
                          <w:sz w:val="28"/>
                          <w:szCs w:val="28"/>
                        </w:rPr>
                        <w:t>Arrangements  Income</w:t>
                      </w:r>
                      <w:proofErr w:type="gramEnd"/>
                      <w:r w:rsidRPr="00424DC7">
                        <w:rPr>
                          <w:rFonts w:asciiTheme="minorHAnsi" w:hAnsiTheme="minorHAnsi" w:cs="Arial"/>
                          <w:b/>
                          <w:sz w:val="28"/>
                          <w:szCs w:val="28"/>
                        </w:rPr>
                        <w:t xml:space="preserve"> Assessment Policy</w:t>
                      </w:r>
                      <w:r w:rsidRPr="00424DC7">
                        <w:rPr>
                          <w:rFonts w:asciiTheme="minorHAnsi" w:hAnsiTheme="minorHAnsi" w:cs="Arial"/>
                          <w:b/>
                          <w:sz w:val="28"/>
                          <w:szCs w:val="28"/>
                          <w:vertAlign w:val="superscript"/>
                        </w:rPr>
                        <w:footnoteRef/>
                      </w:r>
                      <w:r w:rsidRPr="00424DC7">
                        <w:rPr>
                          <w:rFonts w:asciiTheme="minorHAnsi" w:hAnsiTheme="minorHAnsi" w:cs="Arial"/>
                          <w:b/>
                          <w:sz w:val="28"/>
                          <w:szCs w:val="28"/>
                        </w:rPr>
                        <w:t xml:space="preserve"> </w:t>
                      </w:r>
                    </w:p>
                    <w:p w14:paraId="7B11DD49" w14:textId="77777777" w:rsidR="00F45B77" w:rsidRPr="0020694D" w:rsidRDefault="00F45B77" w:rsidP="00F45B77">
                      <w:pPr>
                        <w:spacing w:after="0" w:line="259" w:lineRule="auto"/>
                        <w:ind w:left="0" w:right="0" w:firstLine="0"/>
                        <w:jc w:val="left"/>
                        <w:rPr>
                          <w:rFonts w:ascii="Arial" w:hAnsi="Arial" w:cs="Arial"/>
                        </w:rPr>
                      </w:pPr>
                      <w:r w:rsidRPr="0020694D">
                        <w:rPr>
                          <w:rFonts w:ascii="Arial" w:hAnsi="Arial" w:cs="Arial"/>
                        </w:rPr>
                        <w:t xml:space="preserve"> </w:t>
                      </w:r>
                    </w:p>
                    <w:p w14:paraId="020A7D3F" w14:textId="44AE2B75" w:rsidR="00F45B77" w:rsidRDefault="00F45B77"/>
                  </w:txbxContent>
                </v:textbox>
                <w10:wrap type="square" anchorx="margin"/>
              </v:shape>
            </w:pict>
          </mc:Fallback>
        </mc:AlternateContent>
      </w:r>
    </w:p>
    <w:p w14:paraId="64057D85" w14:textId="69554460" w:rsidR="00F45B77" w:rsidRDefault="00F45B77">
      <w:pPr>
        <w:spacing w:after="0" w:line="232" w:lineRule="auto"/>
        <w:ind w:left="1072" w:right="927" w:firstLine="0"/>
        <w:jc w:val="center"/>
        <w:rPr>
          <w:rFonts w:ascii="Arial" w:hAnsi="Arial" w:cs="Arial"/>
          <w:b/>
        </w:rPr>
      </w:pPr>
    </w:p>
    <w:p w14:paraId="18E0C642" w14:textId="736C5295" w:rsidR="00881474" w:rsidRPr="00424DC7" w:rsidRDefault="00881474" w:rsidP="00525A98">
      <w:pPr>
        <w:ind w:left="0" w:firstLine="0"/>
        <w:rPr>
          <w:rFonts w:asciiTheme="minorHAnsi" w:hAnsiTheme="minorHAnsi"/>
        </w:rPr>
      </w:pPr>
    </w:p>
    <w:p w14:paraId="022283A8" w14:textId="77777777" w:rsidR="00881474" w:rsidRPr="00424DC7" w:rsidRDefault="003144E1" w:rsidP="00424DC7">
      <w:pPr>
        <w:pStyle w:val="ListParagraph"/>
        <w:numPr>
          <w:ilvl w:val="0"/>
          <w:numId w:val="4"/>
        </w:numPr>
        <w:rPr>
          <w:rFonts w:asciiTheme="minorHAnsi" w:hAnsiTheme="minorHAnsi"/>
          <w:b/>
          <w:bCs/>
          <w:color w:val="00B0F0"/>
          <w:sz w:val="28"/>
          <w:szCs w:val="28"/>
        </w:rPr>
      </w:pPr>
      <w:r w:rsidRPr="00424DC7">
        <w:rPr>
          <w:rFonts w:asciiTheme="minorHAnsi" w:hAnsiTheme="minorHAnsi"/>
          <w:b/>
          <w:bCs/>
          <w:color w:val="00B0F0"/>
          <w:sz w:val="28"/>
          <w:szCs w:val="28"/>
        </w:rPr>
        <w:t xml:space="preserve">Background and Purpose of the Affordable Housing Income Assessment Policy </w:t>
      </w:r>
    </w:p>
    <w:p w14:paraId="012187EC" w14:textId="77777777" w:rsidR="00881474" w:rsidRPr="00424DC7" w:rsidRDefault="003144E1" w:rsidP="00424DC7">
      <w:pPr>
        <w:rPr>
          <w:rFonts w:asciiTheme="minorHAnsi" w:hAnsiTheme="minorHAnsi"/>
        </w:rPr>
      </w:pPr>
      <w:r w:rsidRPr="00424DC7">
        <w:rPr>
          <w:rFonts w:asciiTheme="minorHAnsi" w:hAnsiTheme="minorHAnsi"/>
        </w:rPr>
        <w:t xml:space="preserve"> </w:t>
      </w:r>
    </w:p>
    <w:p w14:paraId="7E680B93" w14:textId="77777777" w:rsidR="00881474" w:rsidRPr="00424DC7" w:rsidRDefault="003144E1" w:rsidP="00424DC7">
      <w:pPr>
        <w:rPr>
          <w:rFonts w:asciiTheme="minorHAnsi" w:hAnsiTheme="minorHAnsi"/>
        </w:rPr>
      </w:pPr>
      <w:r w:rsidRPr="00424DC7">
        <w:rPr>
          <w:rFonts w:asciiTheme="minorHAnsi" w:hAnsiTheme="minorHAnsi"/>
        </w:rPr>
        <w:t xml:space="preserve">This policy, issued by the Minister for Housing, Local Government and Heritage, sets out the manner in which housing authorities shall assess the income of applicants for the purpose of determining eligibility for an affordable dwelling purchase arrangement under section 10 of the Affordable Housing Act 2021 and Regulation 2 of the Affordable Housing Regulations 2022. </w:t>
      </w:r>
    </w:p>
    <w:p w14:paraId="6F12FC5F" w14:textId="3BFB7928" w:rsidR="00881474" w:rsidRPr="00424DC7" w:rsidRDefault="003144E1" w:rsidP="00424DC7">
      <w:pPr>
        <w:rPr>
          <w:rFonts w:asciiTheme="minorHAnsi" w:hAnsiTheme="minorHAnsi"/>
        </w:rPr>
      </w:pPr>
      <w:r w:rsidRPr="00424DC7">
        <w:rPr>
          <w:rFonts w:asciiTheme="minorHAnsi" w:hAnsiTheme="minorHAnsi"/>
        </w:rPr>
        <w:t xml:space="preserve"> </w:t>
      </w:r>
    </w:p>
    <w:p w14:paraId="4668AB58" w14:textId="77777777" w:rsidR="00881474" w:rsidRPr="00424DC7" w:rsidRDefault="003144E1" w:rsidP="00424DC7">
      <w:pPr>
        <w:pStyle w:val="ListParagraph"/>
        <w:numPr>
          <w:ilvl w:val="0"/>
          <w:numId w:val="4"/>
        </w:numPr>
        <w:rPr>
          <w:rFonts w:asciiTheme="minorHAnsi" w:hAnsiTheme="minorHAnsi"/>
          <w:b/>
          <w:bCs/>
          <w:color w:val="00B0F0"/>
          <w:sz w:val="28"/>
          <w:szCs w:val="28"/>
        </w:rPr>
      </w:pPr>
      <w:r w:rsidRPr="00424DC7">
        <w:rPr>
          <w:rFonts w:asciiTheme="minorHAnsi" w:hAnsiTheme="minorHAnsi"/>
          <w:b/>
          <w:bCs/>
          <w:color w:val="00B0F0"/>
          <w:sz w:val="28"/>
          <w:szCs w:val="28"/>
        </w:rPr>
        <w:t xml:space="preserve">Income assessed is gross income </w:t>
      </w:r>
    </w:p>
    <w:p w14:paraId="388218EC" w14:textId="77777777" w:rsidR="00881474" w:rsidRPr="00424DC7" w:rsidRDefault="003144E1" w:rsidP="00424DC7">
      <w:pPr>
        <w:rPr>
          <w:rFonts w:asciiTheme="minorHAnsi" w:hAnsiTheme="minorHAnsi"/>
          <w:b/>
          <w:bCs/>
          <w:color w:val="00B0F0"/>
        </w:rPr>
      </w:pPr>
      <w:r w:rsidRPr="00424DC7">
        <w:rPr>
          <w:rFonts w:asciiTheme="minorHAnsi" w:hAnsiTheme="minorHAnsi"/>
          <w:b/>
          <w:bCs/>
          <w:color w:val="00B0F0"/>
        </w:rPr>
        <w:t xml:space="preserve"> </w:t>
      </w:r>
    </w:p>
    <w:p w14:paraId="7202FA49" w14:textId="77777777" w:rsidR="00881474" w:rsidRPr="00424DC7" w:rsidRDefault="003144E1" w:rsidP="00424DC7">
      <w:pPr>
        <w:rPr>
          <w:rFonts w:asciiTheme="minorHAnsi" w:hAnsiTheme="minorHAnsi"/>
        </w:rPr>
      </w:pPr>
      <w:r w:rsidRPr="00424DC7">
        <w:rPr>
          <w:rFonts w:asciiTheme="minorHAnsi" w:hAnsiTheme="minorHAnsi"/>
        </w:rPr>
        <w:t xml:space="preserve">The determination of whether an applicant meets the income criteria in Regulation 2(1) of the Affordable Housing Regulations 2022 is based on a calculation of their preceding 12 months’ gross average income prior to the date of receipt of application. The income of all the persons making the application shall be assessed.  </w:t>
      </w:r>
    </w:p>
    <w:p w14:paraId="3C0454BB" w14:textId="7D8315E1" w:rsidR="00881474" w:rsidRPr="00424DC7" w:rsidRDefault="00881474" w:rsidP="00424DC7">
      <w:pPr>
        <w:rPr>
          <w:rFonts w:asciiTheme="minorHAnsi" w:hAnsiTheme="minorHAnsi"/>
        </w:rPr>
      </w:pPr>
    </w:p>
    <w:p w14:paraId="0D336E6A" w14:textId="77777777" w:rsidR="00881474" w:rsidRPr="00424DC7" w:rsidRDefault="003144E1" w:rsidP="00424DC7">
      <w:pPr>
        <w:pStyle w:val="ListParagraph"/>
        <w:numPr>
          <w:ilvl w:val="0"/>
          <w:numId w:val="4"/>
        </w:numPr>
        <w:rPr>
          <w:rFonts w:asciiTheme="minorHAnsi" w:hAnsiTheme="minorHAnsi"/>
          <w:b/>
          <w:bCs/>
          <w:color w:val="00B0F0"/>
          <w:sz w:val="28"/>
          <w:szCs w:val="28"/>
        </w:rPr>
      </w:pPr>
      <w:r w:rsidRPr="00424DC7">
        <w:rPr>
          <w:rFonts w:asciiTheme="minorHAnsi" w:hAnsiTheme="minorHAnsi"/>
          <w:b/>
          <w:bCs/>
          <w:color w:val="00B0F0"/>
          <w:sz w:val="28"/>
          <w:szCs w:val="28"/>
        </w:rPr>
        <w:t xml:space="preserve">Income that is assessable in considering applications for affordable dwelling purchase arrangements </w:t>
      </w:r>
    </w:p>
    <w:p w14:paraId="091FA23E" w14:textId="77777777" w:rsidR="00881474" w:rsidRPr="00424DC7" w:rsidRDefault="003144E1" w:rsidP="00424DC7">
      <w:pPr>
        <w:rPr>
          <w:rFonts w:asciiTheme="minorHAnsi" w:hAnsiTheme="minorHAnsi"/>
        </w:rPr>
      </w:pPr>
      <w:r w:rsidRPr="00424DC7">
        <w:rPr>
          <w:rFonts w:asciiTheme="minorHAnsi" w:hAnsiTheme="minorHAnsi"/>
        </w:rPr>
        <w:t xml:space="preserve"> </w:t>
      </w:r>
    </w:p>
    <w:p w14:paraId="1D9FCDD0" w14:textId="77777777" w:rsidR="00881474" w:rsidRPr="00424DC7" w:rsidRDefault="003144E1" w:rsidP="00424DC7">
      <w:pPr>
        <w:rPr>
          <w:rFonts w:asciiTheme="minorHAnsi" w:hAnsiTheme="minorHAnsi"/>
        </w:rPr>
      </w:pPr>
      <w:r w:rsidRPr="00424DC7">
        <w:rPr>
          <w:rFonts w:asciiTheme="minorHAnsi" w:hAnsiTheme="minorHAnsi"/>
        </w:rPr>
        <w:t xml:space="preserve">Subject to paragraph 4, the following incomes are assessable for the purposes of assessing eligibility for affordable dwelling purchase arrangements: </w:t>
      </w:r>
    </w:p>
    <w:p w14:paraId="16A75B43" w14:textId="77777777" w:rsidR="00881474" w:rsidRPr="00424DC7" w:rsidRDefault="003144E1" w:rsidP="00424DC7">
      <w:pPr>
        <w:rPr>
          <w:rFonts w:asciiTheme="minorHAnsi" w:hAnsiTheme="minorHAnsi"/>
        </w:rPr>
      </w:pPr>
      <w:r w:rsidRPr="00424DC7">
        <w:rPr>
          <w:rFonts w:asciiTheme="minorHAnsi" w:hAnsiTheme="minorHAnsi"/>
        </w:rPr>
        <w:t xml:space="preserve"> </w:t>
      </w:r>
    </w:p>
    <w:p w14:paraId="2D64E3BF" w14:textId="77777777" w:rsidR="00881474" w:rsidRPr="00424DC7" w:rsidRDefault="003144E1" w:rsidP="00424DC7">
      <w:pPr>
        <w:pStyle w:val="ListParagraph"/>
        <w:numPr>
          <w:ilvl w:val="0"/>
          <w:numId w:val="5"/>
        </w:numPr>
        <w:rPr>
          <w:rFonts w:asciiTheme="minorHAnsi" w:hAnsiTheme="minorHAnsi"/>
        </w:rPr>
      </w:pPr>
      <w:r w:rsidRPr="00424DC7">
        <w:rPr>
          <w:rFonts w:asciiTheme="minorHAnsi" w:hAnsiTheme="minorHAnsi"/>
        </w:rPr>
        <w:t xml:space="preserve">income from employment including overtime payments, bonuses and commissions, which shall be assessable as follows: </w:t>
      </w:r>
    </w:p>
    <w:p w14:paraId="1281D807" w14:textId="2C2262B5" w:rsidR="00881474" w:rsidRPr="00424DC7" w:rsidRDefault="003144E1" w:rsidP="00424DC7">
      <w:pPr>
        <w:rPr>
          <w:rFonts w:asciiTheme="minorHAnsi" w:hAnsiTheme="minorHAnsi"/>
        </w:rPr>
      </w:pPr>
      <w:r w:rsidRPr="00424DC7">
        <w:rPr>
          <w:rFonts w:asciiTheme="minorHAnsi" w:hAnsiTheme="minorHAnsi"/>
        </w:rPr>
        <w:t xml:space="preserve"> </w:t>
      </w:r>
      <w:r w:rsidR="00424DC7">
        <w:rPr>
          <w:rFonts w:asciiTheme="minorHAnsi" w:hAnsiTheme="minorHAnsi"/>
        </w:rPr>
        <w:tab/>
      </w:r>
    </w:p>
    <w:p w14:paraId="1A493C84" w14:textId="77777777" w:rsidR="00881474" w:rsidRPr="00424DC7" w:rsidRDefault="003144E1" w:rsidP="00424DC7">
      <w:pPr>
        <w:pStyle w:val="ListParagraph"/>
        <w:numPr>
          <w:ilvl w:val="0"/>
          <w:numId w:val="6"/>
        </w:numPr>
        <w:rPr>
          <w:rFonts w:asciiTheme="minorHAnsi" w:hAnsiTheme="minorHAnsi"/>
        </w:rPr>
      </w:pPr>
      <w:r w:rsidRPr="00424DC7">
        <w:rPr>
          <w:rFonts w:asciiTheme="minorHAnsi" w:hAnsiTheme="minorHAnsi"/>
        </w:rPr>
        <w:t xml:space="preserve">overtime: generally restricted to a maximum of 10% of basic income, but regular overtime may be taken into account; </w:t>
      </w:r>
    </w:p>
    <w:p w14:paraId="06A361BC" w14:textId="39ED2907" w:rsidR="00881474" w:rsidRPr="00424DC7" w:rsidRDefault="00881474" w:rsidP="00424DC7">
      <w:pPr>
        <w:ind w:firstLine="38"/>
        <w:rPr>
          <w:rFonts w:asciiTheme="minorHAnsi" w:hAnsiTheme="minorHAnsi"/>
        </w:rPr>
      </w:pPr>
    </w:p>
    <w:p w14:paraId="44E90B3D" w14:textId="77777777" w:rsidR="00881474" w:rsidRPr="00424DC7" w:rsidRDefault="003144E1" w:rsidP="00424DC7">
      <w:pPr>
        <w:pStyle w:val="ListParagraph"/>
        <w:numPr>
          <w:ilvl w:val="0"/>
          <w:numId w:val="6"/>
        </w:numPr>
        <w:rPr>
          <w:rFonts w:asciiTheme="minorHAnsi" w:hAnsiTheme="minorHAnsi"/>
        </w:rPr>
      </w:pPr>
      <w:r w:rsidRPr="00424DC7">
        <w:rPr>
          <w:rFonts w:asciiTheme="minorHAnsi" w:hAnsiTheme="minorHAnsi"/>
        </w:rPr>
        <w:t xml:space="preserve">bonus: restricted to a maximum of 10% of basic income; </w:t>
      </w:r>
    </w:p>
    <w:p w14:paraId="3B6107DD" w14:textId="09879EFA" w:rsidR="00881474" w:rsidRPr="00424DC7" w:rsidRDefault="00881474" w:rsidP="00424DC7">
      <w:pPr>
        <w:ind w:firstLine="38"/>
        <w:rPr>
          <w:rFonts w:asciiTheme="minorHAnsi" w:hAnsiTheme="minorHAnsi"/>
        </w:rPr>
      </w:pPr>
    </w:p>
    <w:p w14:paraId="147787EC" w14:textId="77777777" w:rsidR="00881474" w:rsidRPr="00424DC7" w:rsidRDefault="003144E1" w:rsidP="00424DC7">
      <w:pPr>
        <w:pStyle w:val="ListParagraph"/>
        <w:numPr>
          <w:ilvl w:val="0"/>
          <w:numId w:val="6"/>
        </w:numPr>
        <w:rPr>
          <w:rFonts w:asciiTheme="minorHAnsi" w:hAnsiTheme="minorHAnsi"/>
        </w:rPr>
      </w:pPr>
      <w:r w:rsidRPr="00424DC7">
        <w:rPr>
          <w:rFonts w:asciiTheme="minorHAnsi" w:hAnsiTheme="minorHAnsi"/>
        </w:rPr>
        <w:t xml:space="preserve">commission: restricted to a maximum of 30% of basic income, where applicable; </w:t>
      </w:r>
    </w:p>
    <w:p w14:paraId="48A62C05" w14:textId="31B94896" w:rsidR="00881474" w:rsidRPr="00424DC7" w:rsidRDefault="00881474" w:rsidP="00424DC7">
      <w:pPr>
        <w:ind w:firstLine="38"/>
        <w:rPr>
          <w:rFonts w:asciiTheme="minorHAnsi" w:hAnsiTheme="minorHAnsi"/>
        </w:rPr>
      </w:pPr>
    </w:p>
    <w:p w14:paraId="29F39A01" w14:textId="02826BED" w:rsidR="00881474" w:rsidRPr="00424DC7" w:rsidRDefault="00424DC7" w:rsidP="00424DC7">
      <w:pPr>
        <w:pStyle w:val="ListParagraph"/>
        <w:numPr>
          <w:ilvl w:val="0"/>
          <w:numId w:val="5"/>
        </w:numPr>
        <w:rPr>
          <w:rFonts w:asciiTheme="minorHAnsi" w:hAnsiTheme="minorHAnsi"/>
        </w:rPr>
      </w:pPr>
      <w:r>
        <w:rPr>
          <w:rFonts w:asciiTheme="minorHAnsi" w:hAnsiTheme="minorHAnsi"/>
        </w:rPr>
        <w:t>I</w:t>
      </w:r>
      <w:r w:rsidR="003144E1" w:rsidRPr="00424DC7">
        <w:rPr>
          <w:rFonts w:asciiTheme="minorHAnsi" w:hAnsiTheme="minorHAnsi"/>
        </w:rPr>
        <w:t xml:space="preserve">ncome from self-employment; </w:t>
      </w:r>
    </w:p>
    <w:p w14:paraId="0167D835" w14:textId="77777777" w:rsidR="00881474" w:rsidRPr="00424DC7" w:rsidRDefault="003144E1" w:rsidP="00424DC7">
      <w:pPr>
        <w:rPr>
          <w:rFonts w:asciiTheme="minorHAnsi" w:hAnsiTheme="minorHAnsi"/>
        </w:rPr>
      </w:pPr>
      <w:r w:rsidRPr="00424DC7">
        <w:rPr>
          <w:rFonts w:asciiTheme="minorHAnsi" w:hAnsiTheme="minorHAnsi"/>
        </w:rPr>
        <w:t xml:space="preserve"> </w:t>
      </w:r>
    </w:p>
    <w:p w14:paraId="07DE1371" w14:textId="5F1677D0" w:rsidR="00881474" w:rsidRPr="00424DC7" w:rsidRDefault="00525A98" w:rsidP="00424DC7">
      <w:pPr>
        <w:pStyle w:val="ListParagraph"/>
        <w:numPr>
          <w:ilvl w:val="0"/>
          <w:numId w:val="5"/>
        </w:numPr>
        <w:rPr>
          <w:rFonts w:asciiTheme="minorHAnsi" w:hAnsiTheme="minorHAnsi"/>
        </w:rPr>
      </w:pPr>
      <w:r>
        <w:rPr>
          <w:rFonts w:asciiTheme="minorHAnsi" w:hAnsiTheme="minorHAnsi"/>
        </w:rPr>
        <w:lastRenderedPageBreak/>
        <w:t>M</w:t>
      </w:r>
      <w:r w:rsidR="003144E1" w:rsidRPr="00424DC7">
        <w:rPr>
          <w:rFonts w:asciiTheme="minorHAnsi" w:hAnsiTheme="minorHAnsi"/>
        </w:rPr>
        <w:t xml:space="preserve">aintenance payments received; </w:t>
      </w:r>
    </w:p>
    <w:p w14:paraId="6D9C93A4" w14:textId="166C0FE5" w:rsidR="00881474" w:rsidRPr="00424DC7" w:rsidRDefault="00881474" w:rsidP="00424DC7">
      <w:pPr>
        <w:ind w:firstLine="38"/>
        <w:rPr>
          <w:rFonts w:asciiTheme="minorHAnsi" w:hAnsiTheme="minorHAnsi"/>
        </w:rPr>
      </w:pPr>
    </w:p>
    <w:p w14:paraId="2AD8EBC2" w14:textId="0D9DDB54" w:rsidR="00881474" w:rsidRDefault="00525A98" w:rsidP="00424DC7">
      <w:pPr>
        <w:pStyle w:val="ListParagraph"/>
        <w:numPr>
          <w:ilvl w:val="0"/>
          <w:numId w:val="5"/>
        </w:numPr>
        <w:rPr>
          <w:rFonts w:asciiTheme="minorHAnsi" w:hAnsiTheme="minorHAnsi"/>
        </w:rPr>
      </w:pPr>
      <w:r>
        <w:rPr>
          <w:rFonts w:asciiTheme="minorHAnsi" w:hAnsiTheme="minorHAnsi"/>
        </w:rPr>
        <w:t>I</w:t>
      </w:r>
      <w:r w:rsidR="003144E1" w:rsidRPr="00424DC7">
        <w:rPr>
          <w:rFonts w:asciiTheme="minorHAnsi" w:hAnsiTheme="minorHAnsi"/>
        </w:rPr>
        <w:t xml:space="preserve">ncome from rental properties, dividends, capital investments and other similar sources of income; </w:t>
      </w:r>
    </w:p>
    <w:p w14:paraId="72197937" w14:textId="2AFCB3C6" w:rsidR="00525A98" w:rsidRPr="00525A98" w:rsidRDefault="00525A98" w:rsidP="00525A98">
      <w:pPr>
        <w:pStyle w:val="ListParagraph"/>
        <w:rPr>
          <w:rFonts w:asciiTheme="minorHAnsi" w:hAnsiTheme="minorHAnsi"/>
        </w:rPr>
      </w:pP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r>
        <w:rPr>
          <w:rFonts w:asciiTheme="minorHAnsi" w:hAnsiTheme="minorHAnsi"/>
        </w:rPr>
        <w:softHyphen/>
      </w:r>
    </w:p>
    <w:p w14:paraId="3286A29F" w14:textId="1F6B44A2" w:rsidR="00525A98" w:rsidRPr="00525A98" w:rsidRDefault="00525A98" w:rsidP="00525A98">
      <w:pPr>
        <w:pStyle w:val="ListParagraph"/>
        <w:ind w:left="502" w:firstLine="0"/>
        <w:rPr>
          <w:rFonts w:asciiTheme="minorHAnsi" w:hAnsiTheme="minorHAnsi"/>
          <w:sz w:val="16"/>
          <w:szCs w:val="16"/>
        </w:rPr>
      </w:pPr>
      <w:r w:rsidRPr="00525A98">
        <w:rPr>
          <w:rFonts w:asciiTheme="minorHAnsi" w:hAnsiTheme="minorHAnsi"/>
          <w:sz w:val="16"/>
          <w:szCs w:val="16"/>
        </w:rPr>
        <w:t>1 V1 20/04/2022 Source – Affordable Purchase and Cost Rental Unit. Email LAaffordablepurchase@housing.gov.ie</w:t>
      </w:r>
    </w:p>
    <w:p w14:paraId="5ED9465E" w14:textId="77777777" w:rsidR="00881474" w:rsidRPr="00424DC7" w:rsidRDefault="003144E1" w:rsidP="00424DC7">
      <w:pPr>
        <w:rPr>
          <w:rFonts w:asciiTheme="minorHAnsi" w:hAnsiTheme="minorHAnsi"/>
        </w:rPr>
      </w:pPr>
      <w:r w:rsidRPr="00424DC7">
        <w:rPr>
          <w:rFonts w:asciiTheme="minorHAnsi" w:hAnsiTheme="minorHAnsi"/>
        </w:rPr>
        <w:t xml:space="preserve"> </w:t>
      </w:r>
    </w:p>
    <w:p w14:paraId="506D7CA2" w14:textId="5870308F" w:rsidR="00881474" w:rsidRPr="00424DC7" w:rsidRDefault="00525A98" w:rsidP="00424DC7">
      <w:pPr>
        <w:pStyle w:val="ListParagraph"/>
        <w:numPr>
          <w:ilvl w:val="0"/>
          <w:numId w:val="5"/>
        </w:numPr>
        <w:rPr>
          <w:rFonts w:asciiTheme="minorHAnsi" w:hAnsiTheme="minorHAnsi"/>
        </w:rPr>
      </w:pPr>
      <w:r>
        <w:rPr>
          <w:rFonts w:asciiTheme="minorHAnsi" w:hAnsiTheme="minorHAnsi"/>
        </w:rPr>
        <w:t>O</w:t>
      </w:r>
      <w:r w:rsidR="003144E1" w:rsidRPr="00424DC7">
        <w:rPr>
          <w:rFonts w:asciiTheme="minorHAnsi" w:hAnsiTheme="minorHAnsi"/>
        </w:rPr>
        <w:t xml:space="preserve">ccupational and social welfare pensions, from whatever source, including from sources abroad; </w:t>
      </w:r>
    </w:p>
    <w:p w14:paraId="13532FB1" w14:textId="77777777" w:rsidR="00881474" w:rsidRPr="00424DC7" w:rsidRDefault="003144E1" w:rsidP="00424DC7">
      <w:pPr>
        <w:rPr>
          <w:rFonts w:asciiTheme="minorHAnsi" w:hAnsiTheme="minorHAnsi"/>
        </w:rPr>
      </w:pPr>
      <w:r w:rsidRPr="00424DC7">
        <w:rPr>
          <w:rFonts w:asciiTheme="minorHAnsi" w:hAnsiTheme="minorHAnsi"/>
        </w:rPr>
        <w:t xml:space="preserve"> </w:t>
      </w:r>
    </w:p>
    <w:p w14:paraId="79594ECC" w14:textId="243AE931" w:rsidR="00881474" w:rsidRPr="00250458" w:rsidRDefault="00525A98" w:rsidP="00250458">
      <w:pPr>
        <w:pStyle w:val="ListParagraph"/>
        <w:numPr>
          <w:ilvl w:val="0"/>
          <w:numId w:val="5"/>
        </w:numPr>
        <w:rPr>
          <w:rFonts w:asciiTheme="minorHAnsi" w:hAnsiTheme="minorHAnsi"/>
        </w:rPr>
      </w:pPr>
      <w:r>
        <w:rPr>
          <w:rFonts w:asciiTheme="minorHAnsi" w:hAnsiTheme="minorHAnsi"/>
        </w:rPr>
        <w:t>W</w:t>
      </w:r>
      <w:r w:rsidR="003144E1" w:rsidRPr="00250458">
        <w:rPr>
          <w:rFonts w:asciiTheme="minorHAnsi" w:hAnsiTheme="minorHAnsi"/>
        </w:rPr>
        <w:t xml:space="preserve">ith the exception of the specific payments listed in paragraph 4 being disregarded, all income from social insurance and social assistance payments, allowances and benefits, including Working Family Payment. </w:t>
      </w:r>
    </w:p>
    <w:p w14:paraId="7230DC78" w14:textId="422990C3" w:rsidR="00881474" w:rsidRPr="00424DC7" w:rsidRDefault="00881474" w:rsidP="00250458">
      <w:pPr>
        <w:ind w:firstLine="38"/>
        <w:rPr>
          <w:rFonts w:asciiTheme="minorHAnsi" w:hAnsiTheme="minorHAnsi"/>
        </w:rPr>
      </w:pPr>
    </w:p>
    <w:p w14:paraId="5786EB3E" w14:textId="77777777" w:rsidR="00881474" w:rsidRPr="00250458" w:rsidRDefault="003144E1" w:rsidP="00250458">
      <w:pPr>
        <w:rPr>
          <w:rFonts w:asciiTheme="minorHAnsi" w:hAnsiTheme="minorHAnsi"/>
        </w:rPr>
      </w:pPr>
      <w:r w:rsidRPr="00250458">
        <w:rPr>
          <w:rFonts w:asciiTheme="minorHAnsi" w:hAnsiTheme="minorHAnsi"/>
        </w:rPr>
        <w:t xml:space="preserve">Subparagraph (c) and income from rental properties, mentioned in subparagraph (d), are subject to such conditions or criteria as may be set out in guidelines issued by the Minister for Housing, Local Government and Heritage. </w:t>
      </w:r>
    </w:p>
    <w:p w14:paraId="65C00EE3" w14:textId="54AC0A2A" w:rsidR="00881474" w:rsidRPr="00424DC7" w:rsidRDefault="003144E1" w:rsidP="00250458">
      <w:pPr>
        <w:rPr>
          <w:rFonts w:asciiTheme="minorHAnsi" w:hAnsiTheme="minorHAnsi"/>
        </w:rPr>
      </w:pPr>
      <w:r w:rsidRPr="00424DC7">
        <w:rPr>
          <w:rFonts w:asciiTheme="minorHAnsi" w:hAnsiTheme="minorHAnsi"/>
        </w:rPr>
        <w:t xml:space="preserve"> </w:t>
      </w:r>
    </w:p>
    <w:p w14:paraId="1407F5CE" w14:textId="230CB355" w:rsidR="00881474" w:rsidRPr="00525A98" w:rsidRDefault="003144E1" w:rsidP="00525A98">
      <w:pPr>
        <w:pStyle w:val="ListParagraph"/>
        <w:numPr>
          <w:ilvl w:val="0"/>
          <w:numId w:val="4"/>
        </w:numPr>
        <w:rPr>
          <w:rFonts w:asciiTheme="minorHAnsi" w:hAnsiTheme="minorHAnsi"/>
          <w:b/>
          <w:bCs/>
          <w:color w:val="00B0F0"/>
          <w:sz w:val="28"/>
          <w:szCs w:val="28"/>
        </w:rPr>
      </w:pPr>
      <w:r w:rsidRPr="00525A98">
        <w:rPr>
          <w:rFonts w:asciiTheme="minorHAnsi" w:hAnsiTheme="minorHAnsi"/>
          <w:b/>
          <w:bCs/>
          <w:color w:val="00B0F0"/>
          <w:sz w:val="28"/>
          <w:szCs w:val="28"/>
        </w:rPr>
        <w:t xml:space="preserve">Income that is not assessable </w:t>
      </w:r>
    </w:p>
    <w:p w14:paraId="106DA36D" w14:textId="77777777" w:rsidR="00881474" w:rsidRPr="00424DC7" w:rsidRDefault="003144E1" w:rsidP="00424DC7">
      <w:pPr>
        <w:rPr>
          <w:rFonts w:asciiTheme="minorHAnsi" w:hAnsiTheme="minorHAnsi"/>
        </w:rPr>
      </w:pPr>
      <w:r w:rsidRPr="00424DC7">
        <w:rPr>
          <w:rFonts w:asciiTheme="minorHAnsi" w:hAnsiTheme="minorHAnsi"/>
        </w:rPr>
        <w:t xml:space="preserve"> </w:t>
      </w:r>
    </w:p>
    <w:p w14:paraId="592339EE" w14:textId="77777777" w:rsidR="00881474" w:rsidRPr="00424DC7" w:rsidRDefault="003144E1" w:rsidP="00424DC7">
      <w:pPr>
        <w:rPr>
          <w:rFonts w:asciiTheme="minorHAnsi" w:hAnsiTheme="minorHAnsi"/>
        </w:rPr>
      </w:pPr>
      <w:r w:rsidRPr="00424DC7">
        <w:rPr>
          <w:rFonts w:asciiTheme="minorHAnsi" w:hAnsiTheme="minorHAnsi"/>
        </w:rPr>
        <w:t xml:space="preserve">In assessing the income of applicants for the purposes of this policy, a housing authority may decide to disregard income that is once-off, temporary or short-term in nature and which is outside the regular pattern of a person’s annual income. </w:t>
      </w:r>
    </w:p>
    <w:p w14:paraId="3772352E" w14:textId="77777777" w:rsidR="00881474" w:rsidRPr="00424DC7" w:rsidRDefault="003144E1" w:rsidP="00424DC7">
      <w:pPr>
        <w:rPr>
          <w:rFonts w:asciiTheme="minorHAnsi" w:hAnsiTheme="minorHAnsi"/>
        </w:rPr>
      </w:pPr>
      <w:r w:rsidRPr="00424DC7">
        <w:rPr>
          <w:rFonts w:asciiTheme="minorHAnsi" w:hAnsiTheme="minorHAnsi"/>
        </w:rPr>
        <w:t xml:space="preserve"> </w:t>
      </w:r>
    </w:p>
    <w:p w14:paraId="336EF7C2" w14:textId="77777777" w:rsidR="00881474" w:rsidRPr="00424DC7" w:rsidRDefault="003144E1" w:rsidP="00424DC7">
      <w:pPr>
        <w:rPr>
          <w:rFonts w:asciiTheme="minorHAnsi" w:hAnsiTheme="minorHAnsi"/>
        </w:rPr>
      </w:pPr>
      <w:r w:rsidRPr="00424DC7">
        <w:rPr>
          <w:rFonts w:asciiTheme="minorHAnsi" w:hAnsiTheme="minorHAnsi"/>
        </w:rPr>
        <w:t xml:space="preserve">Income from the following sources shall, in all cases, be disregarded for the purposes of assessing income: </w:t>
      </w:r>
    </w:p>
    <w:p w14:paraId="4323A358" w14:textId="77777777" w:rsidR="00881474" w:rsidRPr="00424DC7" w:rsidRDefault="003144E1" w:rsidP="00424DC7">
      <w:pPr>
        <w:rPr>
          <w:rFonts w:asciiTheme="minorHAnsi" w:hAnsiTheme="minorHAnsi"/>
        </w:rPr>
      </w:pPr>
      <w:r w:rsidRPr="00424DC7">
        <w:rPr>
          <w:rFonts w:asciiTheme="minorHAnsi" w:hAnsiTheme="minorHAnsi"/>
        </w:rPr>
        <w:t xml:space="preserve"> </w:t>
      </w:r>
    </w:p>
    <w:p w14:paraId="493E46F4" w14:textId="77777777" w:rsidR="00881474" w:rsidRPr="00250458" w:rsidRDefault="003144E1" w:rsidP="00250458">
      <w:pPr>
        <w:pStyle w:val="ListParagraph"/>
        <w:numPr>
          <w:ilvl w:val="0"/>
          <w:numId w:val="9"/>
        </w:numPr>
        <w:rPr>
          <w:rFonts w:asciiTheme="minorHAnsi" w:hAnsiTheme="minorHAnsi"/>
        </w:rPr>
      </w:pPr>
      <w:r w:rsidRPr="00250458">
        <w:rPr>
          <w:rFonts w:asciiTheme="minorHAnsi" w:hAnsiTheme="minorHAnsi"/>
        </w:rPr>
        <w:t xml:space="preserve">Payments by the Department of Social Protection under the Social Welfare Acts in respect of the following: </w:t>
      </w:r>
    </w:p>
    <w:p w14:paraId="7534CC43" w14:textId="77777777" w:rsidR="00881474" w:rsidRPr="00424DC7" w:rsidRDefault="003144E1" w:rsidP="00424DC7">
      <w:pPr>
        <w:rPr>
          <w:rFonts w:asciiTheme="minorHAnsi" w:hAnsiTheme="minorHAnsi"/>
        </w:rPr>
      </w:pPr>
      <w:r w:rsidRPr="00424DC7">
        <w:rPr>
          <w:rFonts w:asciiTheme="minorHAnsi" w:hAnsiTheme="minorHAnsi"/>
        </w:rPr>
        <w:t xml:space="preserve"> </w:t>
      </w:r>
    </w:p>
    <w:p w14:paraId="058D2D70" w14:textId="77777777" w:rsidR="00881474" w:rsidRPr="00250458" w:rsidRDefault="003144E1" w:rsidP="00250458">
      <w:pPr>
        <w:pStyle w:val="ListParagraph"/>
        <w:numPr>
          <w:ilvl w:val="0"/>
          <w:numId w:val="12"/>
        </w:numPr>
        <w:rPr>
          <w:rFonts w:asciiTheme="minorHAnsi" w:hAnsiTheme="minorHAnsi"/>
        </w:rPr>
      </w:pPr>
      <w:r w:rsidRPr="00250458">
        <w:rPr>
          <w:rFonts w:asciiTheme="minorHAnsi" w:hAnsiTheme="minorHAnsi"/>
        </w:rPr>
        <w:t xml:space="preserve">Child Benefit; </w:t>
      </w:r>
    </w:p>
    <w:p w14:paraId="1414E859" w14:textId="77712B74" w:rsidR="00881474" w:rsidRPr="00424DC7" w:rsidRDefault="00881474" w:rsidP="00250458">
      <w:pPr>
        <w:ind w:left="48" w:firstLine="0"/>
        <w:rPr>
          <w:rFonts w:asciiTheme="minorHAnsi" w:hAnsiTheme="minorHAnsi"/>
        </w:rPr>
      </w:pPr>
    </w:p>
    <w:p w14:paraId="01225CD4" w14:textId="77777777" w:rsidR="00881474" w:rsidRPr="00250458" w:rsidRDefault="003144E1" w:rsidP="00250458">
      <w:pPr>
        <w:pStyle w:val="ListParagraph"/>
        <w:numPr>
          <w:ilvl w:val="0"/>
          <w:numId w:val="12"/>
        </w:numPr>
        <w:rPr>
          <w:rFonts w:asciiTheme="minorHAnsi" w:hAnsiTheme="minorHAnsi"/>
        </w:rPr>
      </w:pPr>
      <w:r w:rsidRPr="00250458">
        <w:rPr>
          <w:rFonts w:asciiTheme="minorHAnsi" w:hAnsiTheme="minorHAnsi"/>
        </w:rPr>
        <w:t xml:space="preserve">Guardian’s Payments (Contributory); </w:t>
      </w:r>
    </w:p>
    <w:p w14:paraId="1E4FD0DD" w14:textId="4D13480F" w:rsidR="00881474" w:rsidRPr="00424DC7" w:rsidRDefault="00881474" w:rsidP="00250458">
      <w:pPr>
        <w:ind w:left="48" w:firstLine="0"/>
        <w:rPr>
          <w:rFonts w:asciiTheme="minorHAnsi" w:hAnsiTheme="minorHAnsi"/>
        </w:rPr>
      </w:pPr>
    </w:p>
    <w:p w14:paraId="770C6954" w14:textId="77777777" w:rsidR="00881474" w:rsidRPr="00250458" w:rsidRDefault="003144E1" w:rsidP="00250458">
      <w:pPr>
        <w:pStyle w:val="ListParagraph"/>
        <w:numPr>
          <w:ilvl w:val="0"/>
          <w:numId w:val="12"/>
        </w:numPr>
        <w:rPr>
          <w:rFonts w:asciiTheme="minorHAnsi" w:hAnsiTheme="minorHAnsi"/>
        </w:rPr>
      </w:pPr>
      <w:r w:rsidRPr="00250458">
        <w:rPr>
          <w:rFonts w:asciiTheme="minorHAnsi" w:hAnsiTheme="minorHAnsi"/>
        </w:rPr>
        <w:t xml:space="preserve">Guardian’s Payments (Non Contributory); </w:t>
      </w:r>
    </w:p>
    <w:p w14:paraId="3231A5F4" w14:textId="3D6B39F2" w:rsidR="00881474" w:rsidRPr="00424DC7" w:rsidRDefault="00881474" w:rsidP="00250458">
      <w:pPr>
        <w:ind w:left="48" w:firstLine="0"/>
        <w:rPr>
          <w:rFonts w:asciiTheme="minorHAnsi" w:hAnsiTheme="minorHAnsi"/>
        </w:rPr>
      </w:pPr>
    </w:p>
    <w:p w14:paraId="35B84933" w14:textId="77777777" w:rsidR="00881474" w:rsidRPr="00250458" w:rsidRDefault="003144E1" w:rsidP="00250458">
      <w:pPr>
        <w:pStyle w:val="ListParagraph"/>
        <w:numPr>
          <w:ilvl w:val="0"/>
          <w:numId w:val="12"/>
        </w:numPr>
        <w:rPr>
          <w:rFonts w:asciiTheme="minorHAnsi" w:hAnsiTheme="minorHAnsi"/>
        </w:rPr>
      </w:pPr>
      <w:r w:rsidRPr="00250458">
        <w:rPr>
          <w:rFonts w:asciiTheme="minorHAnsi" w:hAnsiTheme="minorHAnsi"/>
        </w:rPr>
        <w:t xml:space="preserve">Carer's Allowance, full or half rate; </w:t>
      </w:r>
    </w:p>
    <w:p w14:paraId="79DCEEE8" w14:textId="045199CA" w:rsidR="00881474" w:rsidRPr="00424DC7" w:rsidRDefault="00881474" w:rsidP="00250458">
      <w:pPr>
        <w:ind w:left="48" w:firstLine="0"/>
        <w:rPr>
          <w:rFonts w:asciiTheme="minorHAnsi" w:hAnsiTheme="minorHAnsi"/>
        </w:rPr>
      </w:pPr>
    </w:p>
    <w:p w14:paraId="2BC64221" w14:textId="77777777" w:rsidR="00881474" w:rsidRPr="00250458" w:rsidRDefault="003144E1" w:rsidP="00250458">
      <w:pPr>
        <w:pStyle w:val="ListParagraph"/>
        <w:numPr>
          <w:ilvl w:val="0"/>
          <w:numId w:val="12"/>
        </w:numPr>
        <w:rPr>
          <w:rFonts w:asciiTheme="minorHAnsi" w:hAnsiTheme="minorHAnsi"/>
        </w:rPr>
      </w:pPr>
      <w:r w:rsidRPr="00250458">
        <w:rPr>
          <w:rFonts w:asciiTheme="minorHAnsi" w:hAnsiTheme="minorHAnsi"/>
        </w:rPr>
        <w:t xml:space="preserve">Carer's Benefit; </w:t>
      </w:r>
    </w:p>
    <w:p w14:paraId="6FE3AB9A" w14:textId="1226B545" w:rsidR="00881474" w:rsidRPr="00424DC7" w:rsidRDefault="00881474" w:rsidP="00250458">
      <w:pPr>
        <w:ind w:left="48" w:firstLine="0"/>
        <w:rPr>
          <w:rFonts w:asciiTheme="minorHAnsi" w:hAnsiTheme="minorHAnsi"/>
        </w:rPr>
      </w:pPr>
    </w:p>
    <w:p w14:paraId="0C3B14F4" w14:textId="77777777" w:rsidR="00881474" w:rsidRPr="00250458" w:rsidRDefault="003144E1" w:rsidP="00250458">
      <w:pPr>
        <w:pStyle w:val="ListParagraph"/>
        <w:numPr>
          <w:ilvl w:val="0"/>
          <w:numId w:val="12"/>
        </w:numPr>
        <w:rPr>
          <w:rFonts w:asciiTheme="minorHAnsi" w:hAnsiTheme="minorHAnsi"/>
        </w:rPr>
      </w:pPr>
      <w:r w:rsidRPr="00250458">
        <w:rPr>
          <w:rFonts w:asciiTheme="minorHAnsi" w:hAnsiTheme="minorHAnsi"/>
        </w:rPr>
        <w:t xml:space="preserve">Domiciliary Care Allowance; </w:t>
      </w:r>
    </w:p>
    <w:p w14:paraId="519F9E98" w14:textId="5F845F0B" w:rsidR="00881474" w:rsidRPr="00424DC7" w:rsidRDefault="00881474" w:rsidP="00250458">
      <w:pPr>
        <w:ind w:left="48" w:firstLine="0"/>
        <w:rPr>
          <w:rFonts w:asciiTheme="minorHAnsi" w:hAnsiTheme="minorHAnsi"/>
        </w:rPr>
      </w:pPr>
    </w:p>
    <w:p w14:paraId="739411C5" w14:textId="77777777" w:rsidR="00881474" w:rsidRDefault="003144E1" w:rsidP="00250458">
      <w:pPr>
        <w:pStyle w:val="ListParagraph"/>
        <w:numPr>
          <w:ilvl w:val="0"/>
          <w:numId w:val="12"/>
        </w:numPr>
        <w:rPr>
          <w:rFonts w:asciiTheme="minorHAnsi" w:hAnsiTheme="minorHAnsi"/>
        </w:rPr>
      </w:pPr>
      <w:r w:rsidRPr="00250458">
        <w:rPr>
          <w:rFonts w:asciiTheme="minorHAnsi" w:hAnsiTheme="minorHAnsi"/>
        </w:rPr>
        <w:t xml:space="preserve">Constant Attendance Allowance; </w:t>
      </w:r>
    </w:p>
    <w:p w14:paraId="661DFFEF" w14:textId="77777777" w:rsidR="00250458" w:rsidRPr="00250458" w:rsidRDefault="00250458" w:rsidP="00250458">
      <w:pPr>
        <w:pStyle w:val="ListParagraph"/>
        <w:rPr>
          <w:rFonts w:asciiTheme="minorHAnsi" w:hAnsiTheme="minorHAnsi"/>
        </w:rPr>
      </w:pPr>
    </w:p>
    <w:p w14:paraId="36F1678B" w14:textId="77777777" w:rsidR="00250458" w:rsidRPr="00250458" w:rsidRDefault="00250458" w:rsidP="00250458">
      <w:pPr>
        <w:rPr>
          <w:rFonts w:asciiTheme="minorHAnsi" w:hAnsiTheme="minorHAnsi"/>
        </w:rPr>
      </w:pPr>
    </w:p>
    <w:p w14:paraId="127AA9A1" w14:textId="145E3BDB" w:rsidR="00881474" w:rsidRPr="00424DC7" w:rsidRDefault="00881474" w:rsidP="00250458">
      <w:pPr>
        <w:ind w:left="48" w:firstLine="0"/>
        <w:rPr>
          <w:rFonts w:asciiTheme="minorHAnsi" w:hAnsiTheme="minorHAnsi"/>
        </w:rPr>
      </w:pPr>
    </w:p>
    <w:p w14:paraId="796D9D94" w14:textId="77777777" w:rsidR="00250458" w:rsidRDefault="00250458" w:rsidP="00250458">
      <w:pPr>
        <w:pStyle w:val="ListParagraph"/>
        <w:ind w:left="1080" w:firstLine="0"/>
        <w:rPr>
          <w:rFonts w:asciiTheme="minorHAnsi" w:hAnsiTheme="minorHAnsi"/>
        </w:rPr>
      </w:pPr>
    </w:p>
    <w:p w14:paraId="06CA5118" w14:textId="1BF74DBA" w:rsidR="00881474" w:rsidRPr="00250458" w:rsidRDefault="003144E1" w:rsidP="00250458">
      <w:pPr>
        <w:pStyle w:val="ListParagraph"/>
        <w:numPr>
          <w:ilvl w:val="0"/>
          <w:numId w:val="12"/>
        </w:numPr>
        <w:rPr>
          <w:rFonts w:asciiTheme="minorHAnsi" w:hAnsiTheme="minorHAnsi"/>
        </w:rPr>
      </w:pPr>
      <w:r w:rsidRPr="00250458">
        <w:rPr>
          <w:rFonts w:asciiTheme="minorHAnsi" w:hAnsiTheme="minorHAnsi"/>
        </w:rPr>
        <w:t xml:space="preserve">Prescribed Relatives Allowance; </w:t>
      </w:r>
    </w:p>
    <w:p w14:paraId="77DF60E8" w14:textId="77777777" w:rsidR="00250458" w:rsidRPr="00424DC7" w:rsidRDefault="00250458" w:rsidP="00250458">
      <w:pPr>
        <w:ind w:left="0" w:firstLine="0"/>
        <w:rPr>
          <w:rFonts w:asciiTheme="minorHAnsi" w:hAnsiTheme="minorHAnsi"/>
        </w:rPr>
      </w:pPr>
    </w:p>
    <w:p w14:paraId="7E83D299" w14:textId="77777777" w:rsidR="00881474" w:rsidRPr="00250458" w:rsidRDefault="003144E1" w:rsidP="00250458">
      <w:pPr>
        <w:pStyle w:val="ListParagraph"/>
        <w:numPr>
          <w:ilvl w:val="0"/>
          <w:numId w:val="12"/>
        </w:numPr>
        <w:rPr>
          <w:rFonts w:asciiTheme="minorHAnsi" w:hAnsiTheme="minorHAnsi"/>
        </w:rPr>
      </w:pPr>
      <w:r w:rsidRPr="00250458">
        <w:rPr>
          <w:rFonts w:asciiTheme="minorHAnsi" w:hAnsiTheme="minorHAnsi"/>
        </w:rPr>
        <w:t xml:space="preserve">Electricity or Gas Allowance; </w:t>
      </w:r>
    </w:p>
    <w:p w14:paraId="223331B8" w14:textId="58F676D8" w:rsidR="00881474" w:rsidRPr="00424DC7" w:rsidRDefault="00881474" w:rsidP="00250458">
      <w:pPr>
        <w:ind w:left="48" w:firstLine="0"/>
        <w:rPr>
          <w:rFonts w:asciiTheme="minorHAnsi" w:hAnsiTheme="minorHAnsi"/>
        </w:rPr>
      </w:pPr>
    </w:p>
    <w:p w14:paraId="21071652" w14:textId="77777777" w:rsidR="00881474" w:rsidRPr="00250458" w:rsidRDefault="003144E1" w:rsidP="00250458">
      <w:pPr>
        <w:pStyle w:val="ListParagraph"/>
        <w:numPr>
          <w:ilvl w:val="0"/>
          <w:numId w:val="12"/>
        </w:numPr>
        <w:rPr>
          <w:rFonts w:asciiTheme="minorHAnsi" w:hAnsiTheme="minorHAnsi"/>
        </w:rPr>
      </w:pPr>
      <w:r w:rsidRPr="00250458">
        <w:rPr>
          <w:rFonts w:asciiTheme="minorHAnsi" w:hAnsiTheme="minorHAnsi"/>
        </w:rPr>
        <w:t xml:space="preserve">Fuel Allowance; </w:t>
      </w:r>
    </w:p>
    <w:p w14:paraId="27EFFD4A" w14:textId="4C4894E2" w:rsidR="00881474" w:rsidRPr="00424DC7" w:rsidRDefault="00881474" w:rsidP="00250458">
      <w:pPr>
        <w:ind w:left="48" w:firstLine="0"/>
        <w:rPr>
          <w:rFonts w:asciiTheme="minorHAnsi" w:hAnsiTheme="minorHAnsi"/>
        </w:rPr>
      </w:pPr>
    </w:p>
    <w:p w14:paraId="3CD4CDE2" w14:textId="77777777" w:rsidR="00881474" w:rsidRPr="00250458" w:rsidRDefault="003144E1" w:rsidP="00250458">
      <w:pPr>
        <w:pStyle w:val="ListParagraph"/>
        <w:numPr>
          <w:ilvl w:val="0"/>
          <w:numId w:val="12"/>
        </w:numPr>
        <w:rPr>
          <w:rFonts w:asciiTheme="minorHAnsi" w:hAnsiTheme="minorHAnsi"/>
        </w:rPr>
      </w:pPr>
      <w:r w:rsidRPr="00250458">
        <w:rPr>
          <w:rFonts w:asciiTheme="minorHAnsi" w:hAnsiTheme="minorHAnsi"/>
        </w:rPr>
        <w:t xml:space="preserve">Telephone Allowance; </w:t>
      </w:r>
    </w:p>
    <w:p w14:paraId="4AEB3450" w14:textId="47E9F8F5" w:rsidR="00881474" w:rsidRPr="00424DC7" w:rsidRDefault="00881474" w:rsidP="00250458">
      <w:pPr>
        <w:ind w:left="96" w:firstLine="0"/>
        <w:rPr>
          <w:rFonts w:asciiTheme="minorHAnsi" w:hAnsiTheme="minorHAnsi"/>
        </w:rPr>
      </w:pPr>
    </w:p>
    <w:p w14:paraId="3C42B967" w14:textId="77777777" w:rsidR="00881474" w:rsidRPr="00250458" w:rsidRDefault="003144E1" w:rsidP="00250458">
      <w:pPr>
        <w:pStyle w:val="ListParagraph"/>
        <w:numPr>
          <w:ilvl w:val="0"/>
          <w:numId w:val="12"/>
        </w:numPr>
        <w:rPr>
          <w:rFonts w:asciiTheme="minorHAnsi" w:hAnsiTheme="minorHAnsi"/>
        </w:rPr>
      </w:pPr>
      <w:r w:rsidRPr="00250458">
        <w:rPr>
          <w:rFonts w:asciiTheme="minorHAnsi" w:hAnsiTheme="minorHAnsi"/>
        </w:rPr>
        <w:t xml:space="preserve">Increase for Living on a Specified Island; </w:t>
      </w:r>
    </w:p>
    <w:p w14:paraId="66CF842D" w14:textId="29C0C468" w:rsidR="00881474" w:rsidRPr="00424DC7" w:rsidRDefault="00881474" w:rsidP="00250458">
      <w:pPr>
        <w:ind w:left="48" w:firstLine="0"/>
        <w:rPr>
          <w:rFonts w:asciiTheme="minorHAnsi" w:hAnsiTheme="minorHAnsi"/>
        </w:rPr>
      </w:pPr>
    </w:p>
    <w:p w14:paraId="420E916F" w14:textId="77777777" w:rsidR="00881474" w:rsidRPr="00250458" w:rsidRDefault="003144E1" w:rsidP="00250458">
      <w:pPr>
        <w:pStyle w:val="ListParagraph"/>
        <w:numPr>
          <w:ilvl w:val="0"/>
          <w:numId w:val="12"/>
        </w:numPr>
        <w:rPr>
          <w:rFonts w:asciiTheme="minorHAnsi" w:hAnsiTheme="minorHAnsi"/>
        </w:rPr>
      </w:pPr>
      <w:r w:rsidRPr="00250458">
        <w:rPr>
          <w:rFonts w:asciiTheme="minorHAnsi" w:hAnsiTheme="minorHAnsi"/>
        </w:rPr>
        <w:t xml:space="preserve">Living Alone Allowance; </w:t>
      </w:r>
    </w:p>
    <w:p w14:paraId="43EE160E" w14:textId="34238A56" w:rsidR="00881474" w:rsidRPr="00424DC7" w:rsidRDefault="00881474" w:rsidP="00250458">
      <w:pPr>
        <w:ind w:left="48" w:firstLine="0"/>
        <w:rPr>
          <w:rFonts w:asciiTheme="minorHAnsi" w:hAnsiTheme="minorHAnsi"/>
        </w:rPr>
      </w:pPr>
    </w:p>
    <w:p w14:paraId="1FD102E9" w14:textId="77777777" w:rsidR="00881474" w:rsidRPr="00250458" w:rsidRDefault="003144E1" w:rsidP="00250458">
      <w:pPr>
        <w:pStyle w:val="ListParagraph"/>
        <w:numPr>
          <w:ilvl w:val="0"/>
          <w:numId w:val="12"/>
        </w:numPr>
        <w:rPr>
          <w:rFonts w:asciiTheme="minorHAnsi" w:hAnsiTheme="minorHAnsi"/>
        </w:rPr>
      </w:pPr>
      <w:r w:rsidRPr="00250458">
        <w:rPr>
          <w:rFonts w:asciiTheme="minorHAnsi" w:hAnsiTheme="minorHAnsi"/>
        </w:rPr>
        <w:t xml:space="preserve">Dietary Supplement; </w:t>
      </w:r>
    </w:p>
    <w:p w14:paraId="306966BC" w14:textId="752F0FB2" w:rsidR="00881474" w:rsidRPr="00424DC7" w:rsidRDefault="00881474" w:rsidP="00250458">
      <w:pPr>
        <w:ind w:left="48" w:firstLine="0"/>
        <w:rPr>
          <w:rFonts w:asciiTheme="minorHAnsi" w:hAnsiTheme="minorHAnsi"/>
        </w:rPr>
      </w:pPr>
    </w:p>
    <w:p w14:paraId="5696F5B7" w14:textId="77777777" w:rsidR="00881474" w:rsidRPr="00250458" w:rsidRDefault="003144E1" w:rsidP="00250458">
      <w:pPr>
        <w:pStyle w:val="ListParagraph"/>
        <w:numPr>
          <w:ilvl w:val="0"/>
          <w:numId w:val="12"/>
        </w:numPr>
        <w:rPr>
          <w:rFonts w:asciiTheme="minorHAnsi" w:hAnsiTheme="minorHAnsi"/>
        </w:rPr>
      </w:pPr>
      <w:r w:rsidRPr="00250458">
        <w:rPr>
          <w:rFonts w:asciiTheme="minorHAnsi" w:hAnsiTheme="minorHAnsi"/>
        </w:rPr>
        <w:t xml:space="preserve">Payments under Medical Care Scheme; </w:t>
      </w:r>
    </w:p>
    <w:p w14:paraId="785D48E4" w14:textId="4D9A16B7" w:rsidR="00881474" w:rsidRPr="00424DC7" w:rsidRDefault="00881474" w:rsidP="00250458">
      <w:pPr>
        <w:ind w:left="48" w:firstLine="0"/>
        <w:rPr>
          <w:rFonts w:asciiTheme="minorHAnsi" w:hAnsiTheme="minorHAnsi"/>
        </w:rPr>
      </w:pPr>
    </w:p>
    <w:p w14:paraId="2DC243BF" w14:textId="77777777" w:rsidR="00881474" w:rsidRPr="00250458" w:rsidRDefault="003144E1" w:rsidP="00250458">
      <w:pPr>
        <w:pStyle w:val="ListParagraph"/>
        <w:numPr>
          <w:ilvl w:val="0"/>
          <w:numId w:val="12"/>
        </w:numPr>
        <w:rPr>
          <w:rFonts w:asciiTheme="minorHAnsi" w:hAnsiTheme="minorHAnsi"/>
        </w:rPr>
      </w:pPr>
      <w:r w:rsidRPr="00250458">
        <w:rPr>
          <w:rFonts w:asciiTheme="minorHAnsi" w:hAnsiTheme="minorHAnsi"/>
        </w:rPr>
        <w:t xml:space="preserve">Back to Work Family Dividend; </w:t>
      </w:r>
    </w:p>
    <w:p w14:paraId="10ADC60A" w14:textId="256949C1" w:rsidR="00881474" w:rsidRPr="00424DC7" w:rsidRDefault="00881474" w:rsidP="00250458">
      <w:pPr>
        <w:ind w:left="48" w:firstLine="0"/>
        <w:rPr>
          <w:rFonts w:asciiTheme="minorHAnsi" w:hAnsiTheme="minorHAnsi"/>
        </w:rPr>
      </w:pPr>
    </w:p>
    <w:p w14:paraId="75932454" w14:textId="77777777" w:rsidR="00881474" w:rsidRPr="00250458" w:rsidRDefault="003144E1" w:rsidP="00250458">
      <w:pPr>
        <w:pStyle w:val="ListParagraph"/>
        <w:numPr>
          <w:ilvl w:val="0"/>
          <w:numId w:val="12"/>
        </w:numPr>
        <w:rPr>
          <w:rFonts w:asciiTheme="minorHAnsi" w:hAnsiTheme="minorHAnsi"/>
        </w:rPr>
      </w:pPr>
      <w:r w:rsidRPr="00250458">
        <w:rPr>
          <w:rFonts w:asciiTheme="minorHAnsi" w:hAnsiTheme="minorHAnsi"/>
        </w:rPr>
        <w:t xml:space="preserve">Disablement Benefit/Pension; </w:t>
      </w:r>
    </w:p>
    <w:p w14:paraId="28E59B49" w14:textId="3D527979" w:rsidR="00881474" w:rsidRPr="00424DC7" w:rsidRDefault="00881474" w:rsidP="00250458">
      <w:pPr>
        <w:ind w:left="48" w:firstLine="0"/>
        <w:rPr>
          <w:rFonts w:asciiTheme="minorHAnsi" w:hAnsiTheme="minorHAnsi"/>
        </w:rPr>
      </w:pPr>
    </w:p>
    <w:p w14:paraId="3BD319BD" w14:textId="0D000970" w:rsidR="00881474" w:rsidRPr="00250458" w:rsidRDefault="003144E1" w:rsidP="00250458">
      <w:pPr>
        <w:pStyle w:val="ListParagraph"/>
        <w:numPr>
          <w:ilvl w:val="0"/>
          <w:numId w:val="12"/>
        </w:numPr>
        <w:rPr>
          <w:rFonts w:asciiTheme="minorHAnsi" w:hAnsiTheme="minorHAnsi"/>
        </w:rPr>
      </w:pPr>
      <w:r w:rsidRPr="00250458">
        <w:rPr>
          <w:rFonts w:asciiTheme="minorHAnsi" w:hAnsiTheme="minorHAnsi"/>
        </w:rPr>
        <w:t xml:space="preserve">Once off payments or irregular payments, including, but not limited to, Carer's Support Grant (formerly called Respite Care Grant), Training Support Grant, Back to School Clothing and Footwear Allowance, Exceptional Needs Payment, Urgent Needs Payment, Humanitarian Assistance Scheme, Funeral grant; </w:t>
      </w:r>
    </w:p>
    <w:p w14:paraId="2C8F3151" w14:textId="77777777" w:rsidR="00881474" w:rsidRDefault="003144E1" w:rsidP="00424DC7">
      <w:pPr>
        <w:rPr>
          <w:rFonts w:asciiTheme="minorHAnsi" w:hAnsiTheme="minorHAnsi"/>
        </w:rPr>
      </w:pPr>
      <w:r w:rsidRPr="00424DC7">
        <w:rPr>
          <w:rFonts w:asciiTheme="minorHAnsi" w:hAnsiTheme="minorHAnsi"/>
        </w:rPr>
        <w:t xml:space="preserve"> </w:t>
      </w:r>
    </w:p>
    <w:p w14:paraId="522F5D53" w14:textId="77777777" w:rsidR="00525A98" w:rsidRPr="00424DC7" w:rsidRDefault="00525A98" w:rsidP="00424DC7">
      <w:pPr>
        <w:rPr>
          <w:rFonts w:asciiTheme="minorHAnsi" w:hAnsiTheme="minorHAnsi"/>
        </w:rPr>
      </w:pPr>
    </w:p>
    <w:p w14:paraId="0C63B91C" w14:textId="52ADD452" w:rsidR="00881474" w:rsidRPr="00250458" w:rsidRDefault="00250458" w:rsidP="00250458">
      <w:pPr>
        <w:pStyle w:val="ListParagraph"/>
        <w:numPr>
          <w:ilvl w:val="0"/>
          <w:numId w:val="9"/>
        </w:numPr>
        <w:rPr>
          <w:rFonts w:asciiTheme="minorHAnsi" w:hAnsiTheme="minorHAnsi"/>
        </w:rPr>
      </w:pPr>
      <w:r w:rsidRPr="00250458">
        <w:rPr>
          <w:rFonts w:asciiTheme="minorHAnsi" w:hAnsiTheme="minorHAnsi"/>
        </w:rPr>
        <w:t xml:space="preserve"> </w:t>
      </w:r>
      <w:r>
        <w:rPr>
          <w:rFonts w:asciiTheme="minorHAnsi" w:hAnsiTheme="minorHAnsi"/>
        </w:rPr>
        <w:t>T</w:t>
      </w:r>
      <w:r w:rsidR="003144E1" w:rsidRPr="00250458">
        <w:rPr>
          <w:rFonts w:asciiTheme="minorHAnsi" w:hAnsiTheme="minorHAnsi"/>
        </w:rPr>
        <w:t xml:space="preserve">he amount of income in excess of the Supplementary Welfare rate received from community employment schemes including, but not limited to, the following: </w:t>
      </w:r>
    </w:p>
    <w:p w14:paraId="68C121FD" w14:textId="77777777" w:rsidR="00881474" w:rsidRPr="00424DC7" w:rsidRDefault="003144E1" w:rsidP="00424DC7">
      <w:pPr>
        <w:rPr>
          <w:rFonts w:asciiTheme="minorHAnsi" w:hAnsiTheme="minorHAnsi"/>
        </w:rPr>
      </w:pPr>
      <w:r w:rsidRPr="00424DC7">
        <w:rPr>
          <w:rFonts w:asciiTheme="minorHAnsi" w:hAnsiTheme="minorHAnsi"/>
        </w:rPr>
        <w:t xml:space="preserve"> </w:t>
      </w:r>
    </w:p>
    <w:p w14:paraId="5441D74D" w14:textId="187A5056" w:rsidR="00881474" w:rsidRPr="00250458" w:rsidRDefault="00250458" w:rsidP="00250458">
      <w:pPr>
        <w:pStyle w:val="ListParagraph"/>
        <w:numPr>
          <w:ilvl w:val="0"/>
          <w:numId w:val="13"/>
        </w:numPr>
        <w:rPr>
          <w:rFonts w:asciiTheme="minorHAnsi" w:hAnsiTheme="minorHAnsi"/>
        </w:rPr>
      </w:pPr>
      <w:r>
        <w:rPr>
          <w:rFonts w:asciiTheme="minorHAnsi" w:hAnsiTheme="minorHAnsi"/>
        </w:rPr>
        <w:t>T</w:t>
      </w:r>
      <w:r w:rsidR="003144E1" w:rsidRPr="00250458">
        <w:rPr>
          <w:rFonts w:asciiTheme="minorHAnsi" w:hAnsiTheme="minorHAnsi"/>
        </w:rPr>
        <w:t xml:space="preserve">he Community Employment Programme; </w:t>
      </w:r>
    </w:p>
    <w:p w14:paraId="7CED907E" w14:textId="7465B0EB" w:rsidR="00881474" w:rsidRPr="00424DC7" w:rsidRDefault="00881474" w:rsidP="00250458">
      <w:pPr>
        <w:ind w:firstLine="38"/>
        <w:rPr>
          <w:rFonts w:asciiTheme="minorHAnsi" w:hAnsiTheme="minorHAnsi"/>
        </w:rPr>
      </w:pPr>
    </w:p>
    <w:p w14:paraId="40CD24B7" w14:textId="7803EDA8" w:rsidR="00881474" w:rsidRPr="00250458" w:rsidRDefault="00250458" w:rsidP="00250458">
      <w:pPr>
        <w:pStyle w:val="ListParagraph"/>
        <w:numPr>
          <w:ilvl w:val="0"/>
          <w:numId w:val="13"/>
        </w:numPr>
        <w:rPr>
          <w:rFonts w:asciiTheme="minorHAnsi" w:hAnsiTheme="minorHAnsi"/>
        </w:rPr>
      </w:pPr>
      <w:r>
        <w:rPr>
          <w:rFonts w:asciiTheme="minorHAnsi" w:hAnsiTheme="minorHAnsi"/>
        </w:rPr>
        <w:t>T</w:t>
      </w:r>
      <w:r w:rsidR="003144E1" w:rsidRPr="00250458">
        <w:rPr>
          <w:rFonts w:asciiTheme="minorHAnsi" w:hAnsiTheme="minorHAnsi"/>
        </w:rPr>
        <w:t xml:space="preserve">he Community Services Programme; </w:t>
      </w:r>
    </w:p>
    <w:p w14:paraId="19064C89" w14:textId="6696366B" w:rsidR="00881474" w:rsidRPr="00424DC7" w:rsidRDefault="00881474" w:rsidP="00250458">
      <w:pPr>
        <w:ind w:firstLine="38"/>
        <w:rPr>
          <w:rFonts w:asciiTheme="minorHAnsi" w:hAnsiTheme="minorHAnsi"/>
        </w:rPr>
      </w:pPr>
    </w:p>
    <w:p w14:paraId="21B2E542" w14:textId="77777777" w:rsidR="00881474" w:rsidRPr="00250458" w:rsidRDefault="003144E1" w:rsidP="00250458">
      <w:pPr>
        <w:pStyle w:val="ListParagraph"/>
        <w:numPr>
          <w:ilvl w:val="0"/>
          <w:numId w:val="13"/>
        </w:numPr>
        <w:rPr>
          <w:rFonts w:asciiTheme="minorHAnsi" w:hAnsiTheme="minorHAnsi"/>
        </w:rPr>
      </w:pPr>
      <w:r w:rsidRPr="00250458">
        <w:rPr>
          <w:rFonts w:asciiTheme="minorHAnsi" w:hAnsiTheme="minorHAnsi"/>
        </w:rPr>
        <w:t xml:space="preserve">Gateway; </w:t>
      </w:r>
    </w:p>
    <w:p w14:paraId="6711E55F" w14:textId="2B722D06" w:rsidR="00881474" w:rsidRPr="00424DC7" w:rsidRDefault="00881474" w:rsidP="00250458">
      <w:pPr>
        <w:ind w:firstLine="38"/>
        <w:rPr>
          <w:rFonts w:asciiTheme="minorHAnsi" w:hAnsiTheme="minorHAnsi"/>
        </w:rPr>
      </w:pPr>
    </w:p>
    <w:p w14:paraId="349969E5" w14:textId="13158723" w:rsidR="00881474" w:rsidRPr="00250458" w:rsidRDefault="00250458" w:rsidP="00250458">
      <w:pPr>
        <w:pStyle w:val="ListParagraph"/>
        <w:numPr>
          <w:ilvl w:val="0"/>
          <w:numId w:val="13"/>
        </w:numPr>
        <w:rPr>
          <w:rFonts w:asciiTheme="minorHAnsi" w:hAnsiTheme="minorHAnsi"/>
        </w:rPr>
      </w:pPr>
      <w:r>
        <w:rPr>
          <w:rFonts w:asciiTheme="minorHAnsi" w:hAnsiTheme="minorHAnsi"/>
        </w:rPr>
        <w:t>T</w:t>
      </w:r>
      <w:r w:rsidR="003144E1" w:rsidRPr="00250458">
        <w:rPr>
          <w:rFonts w:asciiTheme="minorHAnsi" w:hAnsiTheme="minorHAnsi"/>
        </w:rPr>
        <w:t xml:space="preserve">he Youth Employment Support Scheme; </w:t>
      </w:r>
    </w:p>
    <w:p w14:paraId="7C803DBF" w14:textId="1BF4D99D" w:rsidR="00881474" w:rsidRPr="00424DC7" w:rsidRDefault="00881474" w:rsidP="00250458">
      <w:pPr>
        <w:ind w:firstLine="38"/>
        <w:rPr>
          <w:rFonts w:asciiTheme="minorHAnsi" w:hAnsiTheme="minorHAnsi"/>
        </w:rPr>
      </w:pPr>
    </w:p>
    <w:p w14:paraId="5ECDB422" w14:textId="3322BD77" w:rsidR="00881474" w:rsidRPr="00250458" w:rsidRDefault="00250458" w:rsidP="00250458">
      <w:pPr>
        <w:pStyle w:val="ListParagraph"/>
        <w:numPr>
          <w:ilvl w:val="0"/>
          <w:numId w:val="13"/>
        </w:numPr>
        <w:rPr>
          <w:rFonts w:asciiTheme="minorHAnsi" w:hAnsiTheme="minorHAnsi"/>
        </w:rPr>
      </w:pPr>
      <w:r>
        <w:rPr>
          <w:rFonts w:asciiTheme="minorHAnsi" w:hAnsiTheme="minorHAnsi"/>
        </w:rPr>
        <w:t>T</w:t>
      </w:r>
      <w:r w:rsidR="003144E1" w:rsidRPr="00250458">
        <w:rPr>
          <w:rFonts w:asciiTheme="minorHAnsi" w:hAnsiTheme="minorHAnsi"/>
        </w:rPr>
        <w:t xml:space="preserve">he Rural Social Scheme (RSS); </w:t>
      </w:r>
    </w:p>
    <w:p w14:paraId="14845DFC" w14:textId="260E8AA5" w:rsidR="00881474" w:rsidRPr="00424DC7" w:rsidRDefault="00881474" w:rsidP="00250458">
      <w:pPr>
        <w:ind w:firstLine="38"/>
        <w:rPr>
          <w:rFonts w:asciiTheme="minorHAnsi" w:hAnsiTheme="minorHAnsi"/>
        </w:rPr>
      </w:pPr>
    </w:p>
    <w:p w14:paraId="35165A06" w14:textId="77777777" w:rsidR="00881474" w:rsidRPr="00250458" w:rsidRDefault="003144E1" w:rsidP="00250458">
      <w:pPr>
        <w:pStyle w:val="ListParagraph"/>
        <w:numPr>
          <w:ilvl w:val="0"/>
          <w:numId w:val="13"/>
        </w:numPr>
        <w:rPr>
          <w:rFonts w:asciiTheme="minorHAnsi" w:hAnsiTheme="minorHAnsi"/>
        </w:rPr>
      </w:pPr>
      <w:proofErr w:type="spellStart"/>
      <w:r w:rsidRPr="00250458">
        <w:rPr>
          <w:rFonts w:asciiTheme="minorHAnsi" w:hAnsiTheme="minorHAnsi"/>
        </w:rPr>
        <w:t>Tús</w:t>
      </w:r>
      <w:proofErr w:type="spellEnd"/>
      <w:r w:rsidRPr="00250458">
        <w:rPr>
          <w:rFonts w:asciiTheme="minorHAnsi" w:hAnsiTheme="minorHAnsi"/>
        </w:rPr>
        <w:t xml:space="preserve">; </w:t>
      </w:r>
    </w:p>
    <w:p w14:paraId="35886AFA" w14:textId="77777777" w:rsidR="00881474" w:rsidRDefault="003144E1" w:rsidP="00424DC7">
      <w:pPr>
        <w:rPr>
          <w:rFonts w:asciiTheme="minorHAnsi" w:hAnsiTheme="minorHAnsi"/>
        </w:rPr>
      </w:pPr>
      <w:r w:rsidRPr="00424DC7">
        <w:rPr>
          <w:rFonts w:asciiTheme="minorHAnsi" w:hAnsiTheme="minorHAnsi"/>
        </w:rPr>
        <w:t xml:space="preserve"> </w:t>
      </w:r>
    </w:p>
    <w:p w14:paraId="39976DD9" w14:textId="77777777" w:rsidR="00250458" w:rsidRDefault="00250458" w:rsidP="00424DC7">
      <w:pPr>
        <w:rPr>
          <w:rFonts w:asciiTheme="minorHAnsi" w:hAnsiTheme="minorHAnsi"/>
        </w:rPr>
      </w:pPr>
    </w:p>
    <w:p w14:paraId="0BAE81C6" w14:textId="77777777" w:rsidR="00250458" w:rsidRPr="00424DC7" w:rsidRDefault="00250458" w:rsidP="00424DC7">
      <w:pPr>
        <w:rPr>
          <w:rFonts w:asciiTheme="minorHAnsi" w:hAnsiTheme="minorHAnsi"/>
        </w:rPr>
      </w:pPr>
    </w:p>
    <w:p w14:paraId="4D7CC7A5" w14:textId="252C39A2" w:rsidR="00881474" w:rsidRPr="00250458" w:rsidRDefault="00250458" w:rsidP="00250458">
      <w:pPr>
        <w:pStyle w:val="ListParagraph"/>
        <w:numPr>
          <w:ilvl w:val="0"/>
          <w:numId w:val="9"/>
        </w:numPr>
        <w:rPr>
          <w:rFonts w:asciiTheme="minorHAnsi" w:hAnsiTheme="minorHAnsi"/>
        </w:rPr>
      </w:pPr>
      <w:r>
        <w:rPr>
          <w:rFonts w:asciiTheme="minorHAnsi" w:hAnsiTheme="minorHAnsi"/>
        </w:rPr>
        <w:t>T</w:t>
      </w:r>
      <w:r w:rsidR="003144E1" w:rsidRPr="00250458">
        <w:rPr>
          <w:rFonts w:asciiTheme="minorHAnsi" w:hAnsiTheme="minorHAnsi"/>
        </w:rPr>
        <w:t xml:space="preserve">he amount of income </w:t>
      </w:r>
      <w:proofErr w:type="gramStart"/>
      <w:r w:rsidR="003144E1" w:rsidRPr="00250458">
        <w:rPr>
          <w:rFonts w:asciiTheme="minorHAnsi" w:hAnsiTheme="minorHAnsi"/>
        </w:rPr>
        <w:t>in excess of</w:t>
      </w:r>
      <w:proofErr w:type="gramEnd"/>
      <w:r w:rsidR="003144E1" w:rsidRPr="00250458">
        <w:rPr>
          <w:rFonts w:asciiTheme="minorHAnsi" w:hAnsiTheme="minorHAnsi"/>
        </w:rPr>
        <w:t xml:space="preserve"> the Supplementary Welfare rate received by way of payments from the following: </w:t>
      </w:r>
    </w:p>
    <w:p w14:paraId="4703E214" w14:textId="77777777" w:rsidR="00881474" w:rsidRPr="00424DC7" w:rsidRDefault="003144E1" w:rsidP="00424DC7">
      <w:pPr>
        <w:rPr>
          <w:rFonts w:asciiTheme="minorHAnsi" w:hAnsiTheme="minorHAnsi"/>
        </w:rPr>
      </w:pPr>
      <w:r w:rsidRPr="00424DC7">
        <w:rPr>
          <w:rFonts w:asciiTheme="minorHAnsi" w:hAnsiTheme="minorHAnsi"/>
        </w:rPr>
        <w:t xml:space="preserve"> </w:t>
      </w:r>
    </w:p>
    <w:p w14:paraId="7B04EAA2" w14:textId="77777777" w:rsidR="00881474" w:rsidRPr="00250458" w:rsidRDefault="003144E1" w:rsidP="00250458">
      <w:pPr>
        <w:pStyle w:val="ListParagraph"/>
        <w:numPr>
          <w:ilvl w:val="0"/>
          <w:numId w:val="14"/>
        </w:numPr>
        <w:rPr>
          <w:rFonts w:asciiTheme="minorHAnsi" w:hAnsiTheme="minorHAnsi"/>
        </w:rPr>
      </w:pPr>
      <w:r w:rsidRPr="00250458">
        <w:rPr>
          <w:rFonts w:asciiTheme="minorHAnsi" w:hAnsiTheme="minorHAnsi"/>
        </w:rPr>
        <w:t xml:space="preserve">Department of Social Protection; </w:t>
      </w:r>
    </w:p>
    <w:p w14:paraId="06AA5319" w14:textId="5F5229EA" w:rsidR="00881474" w:rsidRPr="00424DC7" w:rsidRDefault="00881474" w:rsidP="00250458">
      <w:pPr>
        <w:ind w:firstLine="38"/>
        <w:rPr>
          <w:rFonts w:asciiTheme="minorHAnsi" w:hAnsiTheme="minorHAnsi"/>
        </w:rPr>
      </w:pPr>
    </w:p>
    <w:p w14:paraId="4F429E81" w14:textId="77777777" w:rsidR="00881474" w:rsidRPr="00250458" w:rsidRDefault="003144E1" w:rsidP="00250458">
      <w:pPr>
        <w:pStyle w:val="ListParagraph"/>
        <w:numPr>
          <w:ilvl w:val="0"/>
          <w:numId w:val="14"/>
        </w:numPr>
        <w:rPr>
          <w:rFonts w:asciiTheme="minorHAnsi" w:hAnsiTheme="minorHAnsi"/>
        </w:rPr>
      </w:pPr>
      <w:r w:rsidRPr="00250458">
        <w:rPr>
          <w:rFonts w:asciiTheme="minorHAnsi" w:hAnsiTheme="minorHAnsi"/>
        </w:rPr>
        <w:t xml:space="preserve">Department of Education; </w:t>
      </w:r>
    </w:p>
    <w:p w14:paraId="49C78C16" w14:textId="254FE9FE" w:rsidR="00881474" w:rsidRPr="00424DC7" w:rsidRDefault="00881474" w:rsidP="00250458">
      <w:pPr>
        <w:ind w:firstLine="38"/>
        <w:rPr>
          <w:rFonts w:asciiTheme="minorHAnsi" w:hAnsiTheme="minorHAnsi"/>
        </w:rPr>
      </w:pPr>
    </w:p>
    <w:p w14:paraId="0755FDF0" w14:textId="77777777" w:rsidR="00881474" w:rsidRPr="00250458" w:rsidRDefault="003144E1" w:rsidP="00250458">
      <w:pPr>
        <w:pStyle w:val="ListParagraph"/>
        <w:numPr>
          <w:ilvl w:val="0"/>
          <w:numId w:val="14"/>
        </w:numPr>
        <w:rPr>
          <w:rFonts w:asciiTheme="minorHAnsi" w:hAnsiTheme="minorHAnsi"/>
        </w:rPr>
      </w:pPr>
      <w:r w:rsidRPr="00250458">
        <w:rPr>
          <w:rFonts w:asciiTheme="minorHAnsi" w:hAnsiTheme="minorHAnsi"/>
        </w:rPr>
        <w:t xml:space="preserve">Department of Further and Higher Education, Research, Innovation and Science; </w:t>
      </w:r>
    </w:p>
    <w:p w14:paraId="08FBA0C8" w14:textId="20AF09F3" w:rsidR="00881474" w:rsidRPr="00424DC7" w:rsidRDefault="00881474" w:rsidP="00250458">
      <w:pPr>
        <w:ind w:firstLine="38"/>
        <w:rPr>
          <w:rFonts w:asciiTheme="minorHAnsi" w:hAnsiTheme="minorHAnsi"/>
        </w:rPr>
      </w:pPr>
    </w:p>
    <w:p w14:paraId="3853BBCC" w14:textId="77777777" w:rsidR="00881474" w:rsidRPr="00250458" w:rsidRDefault="003144E1" w:rsidP="00250458">
      <w:pPr>
        <w:pStyle w:val="ListParagraph"/>
        <w:numPr>
          <w:ilvl w:val="0"/>
          <w:numId w:val="14"/>
        </w:numPr>
        <w:rPr>
          <w:rFonts w:asciiTheme="minorHAnsi" w:hAnsiTheme="minorHAnsi"/>
        </w:rPr>
      </w:pPr>
      <w:r w:rsidRPr="00250458">
        <w:rPr>
          <w:rFonts w:asciiTheme="minorHAnsi" w:hAnsiTheme="minorHAnsi"/>
        </w:rPr>
        <w:t xml:space="preserve">any Government Department or state agency in respect of an education or training course; </w:t>
      </w:r>
    </w:p>
    <w:p w14:paraId="7F586237" w14:textId="77777777" w:rsidR="00881474" w:rsidRPr="00424DC7" w:rsidRDefault="003144E1" w:rsidP="00424DC7">
      <w:pPr>
        <w:rPr>
          <w:rFonts w:asciiTheme="minorHAnsi" w:hAnsiTheme="minorHAnsi"/>
        </w:rPr>
      </w:pPr>
      <w:r w:rsidRPr="00424DC7">
        <w:rPr>
          <w:rFonts w:asciiTheme="minorHAnsi" w:hAnsiTheme="minorHAnsi"/>
        </w:rPr>
        <w:t xml:space="preserve"> </w:t>
      </w:r>
    </w:p>
    <w:p w14:paraId="7CBCC167" w14:textId="713F8972" w:rsidR="00881474" w:rsidRPr="00250458" w:rsidRDefault="003144E1" w:rsidP="00250458">
      <w:pPr>
        <w:pStyle w:val="ListParagraph"/>
        <w:numPr>
          <w:ilvl w:val="0"/>
          <w:numId w:val="9"/>
        </w:numPr>
        <w:rPr>
          <w:rFonts w:asciiTheme="minorHAnsi" w:hAnsiTheme="minorHAnsi"/>
        </w:rPr>
      </w:pPr>
      <w:r w:rsidRPr="00250458">
        <w:rPr>
          <w:rFonts w:asciiTheme="minorHAnsi" w:hAnsiTheme="minorHAnsi"/>
        </w:rPr>
        <w:t xml:space="preserve">Payments by the Health Service Executive in respect of the following: </w:t>
      </w:r>
    </w:p>
    <w:p w14:paraId="70547C22" w14:textId="77777777" w:rsidR="00881474" w:rsidRPr="00424DC7" w:rsidRDefault="003144E1" w:rsidP="00424DC7">
      <w:pPr>
        <w:rPr>
          <w:rFonts w:asciiTheme="minorHAnsi" w:hAnsiTheme="minorHAnsi"/>
        </w:rPr>
      </w:pPr>
      <w:r w:rsidRPr="00424DC7">
        <w:rPr>
          <w:rFonts w:asciiTheme="minorHAnsi" w:hAnsiTheme="minorHAnsi"/>
        </w:rPr>
        <w:t xml:space="preserve"> </w:t>
      </w:r>
    </w:p>
    <w:p w14:paraId="742B1DF5" w14:textId="77777777" w:rsidR="00881474" w:rsidRPr="00250458" w:rsidRDefault="003144E1" w:rsidP="00250458">
      <w:pPr>
        <w:pStyle w:val="ListParagraph"/>
        <w:numPr>
          <w:ilvl w:val="0"/>
          <w:numId w:val="15"/>
        </w:numPr>
        <w:rPr>
          <w:rFonts w:asciiTheme="minorHAnsi" w:hAnsiTheme="minorHAnsi"/>
        </w:rPr>
      </w:pPr>
      <w:r w:rsidRPr="00250458">
        <w:rPr>
          <w:rFonts w:asciiTheme="minorHAnsi" w:hAnsiTheme="minorHAnsi"/>
        </w:rPr>
        <w:t xml:space="preserve">Fostering Allowance; </w:t>
      </w:r>
    </w:p>
    <w:p w14:paraId="352938B7" w14:textId="6F86B515" w:rsidR="00881474" w:rsidRPr="00424DC7" w:rsidRDefault="00881474" w:rsidP="00250458">
      <w:pPr>
        <w:ind w:firstLine="38"/>
        <w:rPr>
          <w:rFonts w:asciiTheme="minorHAnsi" w:hAnsiTheme="minorHAnsi"/>
        </w:rPr>
      </w:pPr>
    </w:p>
    <w:p w14:paraId="09718FF0" w14:textId="77777777" w:rsidR="00881474" w:rsidRPr="00250458" w:rsidRDefault="003144E1" w:rsidP="00250458">
      <w:pPr>
        <w:pStyle w:val="ListParagraph"/>
        <w:numPr>
          <w:ilvl w:val="0"/>
          <w:numId w:val="15"/>
        </w:numPr>
        <w:rPr>
          <w:rFonts w:asciiTheme="minorHAnsi" w:hAnsiTheme="minorHAnsi"/>
        </w:rPr>
      </w:pPr>
      <w:r w:rsidRPr="00250458">
        <w:rPr>
          <w:rFonts w:asciiTheme="minorHAnsi" w:hAnsiTheme="minorHAnsi"/>
        </w:rPr>
        <w:t xml:space="preserve">Blind Welfare Allowance; </w:t>
      </w:r>
    </w:p>
    <w:p w14:paraId="64AB9A4A" w14:textId="2414D8CE" w:rsidR="00881474" w:rsidRPr="00424DC7" w:rsidRDefault="00881474" w:rsidP="00250458">
      <w:pPr>
        <w:ind w:firstLine="38"/>
        <w:rPr>
          <w:rFonts w:asciiTheme="minorHAnsi" w:hAnsiTheme="minorHAnsi"/>
        </w:rPr>
      </w:pPr>
    </w:p>
    <w:p w14:paraId="264AFA40" w14:textId="77777777" w:rsidR="00881474" w:rsidRPr="00250458" w:rsidRDefault="003144E1" w:rsidP="00250458">
      <w:pPr>
        <w:pStyle w:val="ListParagraph"/>
        <w:numPr>
          <w:ilvl w:val="0"/>
          <w:numId w:val="15"/>
        </w:numPr>
        <w:rPr>
          <w:rFonts w:asciiTheme="minorHAnsi" w:hAnsiTheme="minorHAnsi"/>
        </w:rPr>
      </w:pPr>
      <w:r w:rsidRPr="00250458">
        <w:rPr>
          <w:rFonts w:asciiTheme="minorHAnsi" w:hAnsiTheme="minorHAnsi"/>
        </w:rPr>
        <w:t xml:space="preserve">Mobility allowance; </w:t>
      </w:r>
    </w:p>
    <w:p w14:paraId="256F3C46" w14:textId="77777777" w:rsidR="00881474" w:rsidRPr="00424DC7" w:rsidRDefault="003144E1" w:rsidP="00424DC7">
      <w:pPr>
        <w:rPr>
          <w:rFonts w:asciiTheme="minorHAnsi" w:hAnsiTheme="minorHAnsi"/>
        </w:rPr>
      </w:pPr>
      <w:r w:rsidRPr="00424DC7">
        <w:rPr>
          <w:rFonts w:asciiTheme="minorHAnsi" w:hAnsiTheme="minorHAnsi"/>
        </w:rPr>
        <w:t xml:space="preserve"> </w:t>
      </w:r>
    </w:p>
    <w:p w14:paraId="376806CC" w14:textId="0AD53362" w:rsidR="00881474" w:rsidRPr="00250458" w:rsidRDefault="003144E1" w:rsidP="00250458">
      <w:pPr>
        <w:pStyle w:val="ListParagraph"/>
        <w:numPr>
          <w:ilvl w:val="0"/>
          <w:numId w:val="9"/>
        </w:numPr>
        <w:rPr>
          <w:rFonts w:asciiTheme="minorHAnsi" w:hAnsiTheme="minorHAnsi"/>
        </w:rPr>
      </w:pPr>
      <w:r w:rsidRPr="00250458">
        <w:rPr>
          <w:rFonts w:asciiTheme="minorHAnsi" w:hAnsiTheme="minorHAnsi"/>
        </w:rPr>
        <w:t xml:space="preserve">Payments by the Department of Education, or under schemes funded by that Department, in respect of the following: </w:t>
      </w:r>
    </w:p>
    <w:p w14:paraId="2CD990E2" w14:textId="77777777" w:rsidR="00881474" w:rsidRPr="00424DC7" w:rsidRDefault="003144E1" w:rsidP="00424DC7">
      <w:pPr>
        <w:rPr>
          <w:rFonts w:asciiTheme="minorHAnsi" w:hAnsiTheme="minorHAnsi"/>
        </w:rPr>
      </w:pPr>
      <w:r w:rsidRPr="00424DC7">
        <w:rPr>
          <w:rFonts w:asciiTheme="minorHAnsi" w:hAnsiTheme="minorHAnsi"/>
        </w:rPr>
        <w:t xml:space="preserve"> </w:t>
      </w:r>
    </w:p>
    <w:p w14:paraId="31980099" w14:textId="77777777" w:rsidR="00881474" w:rsidRPr="00250458" w:rsidRDefault="003144E1" w:rsidP="00250458">
      <w:pPr>
        <w:pStyle w:val="ListParagraph"/>
        <w:numPr>
          <w:ilvl w:val="0"/>
          <w:numId w:val="16"/>
        </w:numPr>
        <w:rPr>
          <w:rFonts w:asciiTheme="minorHAnsi" w:hAnsiTheme="minorHAnsi"/>
        </w:rPr>
      </w:pPr>
      <w:r w:rsidRPr="00250458">
        <w:rPr>
          <w:rFonts w:asciiTheme="minorHAnsi" w:hAnsiTheme="minorHAnsi"/>
        </w:rPr>
        <w:t xml:space="preserve">Student grants schemes; </w:t>
      </w:r>
    </w:p>
    <w:p w14:paraId="2F5BC6E6" w14:textId="662EF7B0" w:rsidR="00881474" w:rsidRPr="00424DC7" w:rsidRDefault="00881474" w:rsidP="00250458">
      <w:pPr>
        <w:ind w:firstLine="38"/>
        <w:rPr>
          <w:rFonts w:asciiTheme="minorHAnsi" w:hAnsiTheme="minorHAnsi"/>
        </w:rPr>
      </w:pPr>
    </w:p>
    <w:p w14:paraId="6EEA2CCF" w14:textId="77777777" w:rsidR="00881474" w:rsidRPr="00250458" w:rsidRDefault="003144E1" w:rsidP="00250458">
      <w:pPr>
        <w:pStyle w:val="ListParagraph"/>
        <w:numPr>
          <w:ilvl w:val="0"/>
          <w:numId w:val="16"/>
        </w:numPr>
        <w:rPr>
          <w:rFonts w:asciiTheme="minorHAnsi" w:hAnsiTheme="minorHAnsi"/>
        </w:rPr>
      </w:pPr>
      <w:r w:rsidRPr="00250458">
        <w:rPr>
          <w:rFonts w:asciiTheme="minorHAnsi" w:hAnsiTheme="minorHAnsi"/>
        </w:rPr>
        <w:t xml:space="preserve">Home Tuition Scheme; </w:t>
      </w:r>
    </w:p>
    <w:p w14:paraId="28C5F770" w14:textId="6F901282" w:rsidR="00881474" w:rsidRPr="00424DC7" w:rsidRDefault="00881474" w:rsidP="00250458">
      <w:pPr>
        <w:ind w:firstLine="38"/>
        <w:rPr>
          <w:rFonts w:asciiTheme="minorHAnsi" w:hAnsiTheme="minorHAnsi"/>
        </w:rPr>
      </w:pPr>
    </w:p>
    <w:p w14:paraId="4DB24F71" w14:textId="77777777" w:rsidR="00881474" w:rsidRPr="00250458" w:rsidRDefault="003144E1" w:rsidP="00250458">
      <w:pPr>
        <w:pStyle w:val="ListParagraph"/>
        <w:numPr>
          <w:ilvl w:val="0"/>
          <w:numId w:val="16"/>
        </w:numPr>
        <w:rPr>
          <w:rFonts w:asciiTheme="minorHAnsi" w:hAnsiTheme="minorHAnsi"/>
        </w:rPr>
      </w:pPr>
      <w:r w:rsidRPr="00250458">
        <w:rPr>
          <w:rFonts w:asciiTheme="minorHAnsi" w:hAnsiTheme="minorHAnsi"/>
        </w:rPr>
        <w:t xml:space="preserve">Youthreach training allowance; </w:t>
      </w:r>
    </w:p>
    <w:p w14:paraId="4C9E6E07" w14:textId="77777777" w:rsidR="00881474" w:rsidRPr="00424DC7" w:rsidRDefault="003144E1" w:rsidP="00424DC7">
      <w:pPr>
        <w:rPr>
          <w:rFonts w:asciiTheme="minorHAnsi" w:hAnsiTheme="minorHAnsi"/>
        </w:rPr>
      </w:pPr>
      <w:r w:rsidRPr="00424DC7">
        <w:rPr>
          <w:rFonts w:asciiTheme="minorHAnsi" w:hAnsiTheme="minorHAnsi"/>
        </w:rPr>
        <w:t xml:space="preserve"> </w:t>
      </w:r>
    </w:p>
    <w:p w14:paraId="74EFE36C" w14:textId="52F40A14" w:rsidR="00881474" w:rsidRPr="00250458" w:rsidRDefault="003144E1" w:rsidP="00250458">
      <w:pPr>
        <w:pStyle w:val="ListParagraph"/>
        <w:numPr>
          <w:ilvl w:val="0"/>
          <w:numId w:val="9"/>
        </w:numPr>
        <w:rPr>
          <w:rFonts w:asciiTheme="minorHAnsi" w:hAnsiTheme="minorHAnsi"/>
        </w:rPr>
      </w:pPr>
      <w:r w:rsidRPr="00250458">
        <w:rPr>
          <w:rFonts w:asciiTheme="minorHAnsi" w:hAnsiTheme="minorHAnsi"/>
        </w:rPr>
        <w:t xml:space="preserve">Payments received as a training allowance while undergoing a course of rehabilitation training by an organisation approved by the Minister for Health; </w:t>
      </w:r>
    </w:p>
    <w:p w14:paraId="31F4A11E" w14:textId="77777777" w:rsidR="00881474" w:rsidRPr="00424DC7" w:rsidRDefault="003144E1" w:rsidP="00424DC7">
      <w:pPr>
        <w:rPr>
          <w:rFonts w:asciiTheme="minorHAnsi" w:hAnsiTheme="minorHAnsi"/>
        </w:rPr>
      </w:pPr>
      <w:r w:rsidRPr="00424DC7">
        <w:rPr>
          <w:rFonts w:asciiTheme="minorHAnsi" w:hAnsiTheme="minorHAnsi"/>
        </w:rPr>
        <w:t xml:space="preserve"> </w:t>
      </w:r>
    </w:p>
    <w:p w14:paraId="10D5D18B" w14:textId="0A343653" w:rsidR="00881474" w:rsidRPr="00525A98" w:rsidRDefault="003144E1" w:rsidP="00525A98">
      <w:pPr>
        <w:pStyle w:val="ListParagraph"/>
        <w:numPr>
          <w:ilvl w:val="0"/>
          <w:numId w:val="9"/>
        </w:numPr>
        <w:rPr>
          <w:rFonts w:asciiTheme="minorHAnsi" w:hAnsiTheme="minorHAnsi"/>
        </w:rPr>
      </w:pPr>
      <w:r w:rsidRPr="00525A98">
        <w:rPr>
          <w:rFonts w:asciiTheme="minorHAnsi" w:hAnsiTheme="minorHAnsi"/>
        </w:rPr>
        <w:t xml:space="preserve">Payments by charitable organisations, being bodies the activities of which are carried on otherwise than for profit (but excluding any local authority or other public authority) and one of the functions of which is to assist persons in need by making grants of money to them; </w:t>
      </w:r>
    </w:p>
    <w:p w14:paraId="34BCE308" w14:textId="77777777" w:rsidR="00525A98" w:rsidRDefault="00525A98" w:rsidP="00424DC7">
      <w:pPr>
        <w:rPr>
          <w:rFonts w:asciiTheme="minorHAnsi" w:hAnsiTheme="minorHAnsi"/>
        </w:rPr>
      </w:pPr>
    </w:p>
    <w:p w14:paraId="3D41AFF3" w14:textId="77777777" w:rsidR="00525A98" w:rsidRDefault="00525A98" w:rsidP="00424DC7">
      <w:pPr>
        <w:rPr>
          <w:rFonts w:asciiTheme="minorHAnsi" w:hAnsiTheme="minorHAnsi"/>
        </w:rPr>
      </w:pPr>
    </w:p>
    <w:p w14:paraId="7130E9F6" w14:textId="77777777" w:rsidR="00525A98" w:rsidRDefault="00525A98" w:rsidP="00424DC7">
      <w:pPr>
        <w:rPr>
          <w:rFonts w:asciiTheme="minorHAnsi" w:hAnsiTheme="minorHAnsi"/>
        </w:rPr>
      </w:pPr>
    </w:p>
    <w:p w14:paraId="31103FB0" w14:textId="77777777" w:rsidR="00525A98" w:rsidRDefault="00525A98" w:rsidP="00424DC7">
      <w:pPr>
        <w:rPr>
          <w:rFonts w:asciiTheme="minorHAnsi" w:hAnsiTheme="minorHAnsi"/>
        </w:rPr>
      </w:pPr>
    </w:p>
    <w:p w14:paraId="4DAC6C6A" w14:textId="77777777" w:rsidR="00525A98" w:rsidRDefault="00525A98" w:rsidP="00424DC7">
      <w:pPr>
        <w:rPr>
          <w:rFonts w:asciiTheme="minorHAnsi" w:hAnsiTheme="minorHAnsi"/>
        </w:rPr>
      </w:pPr>
    </w:p>
    <w:p w14:paraId="182156E2" w14:textId="77777777" w:rsidR="00525A98" w:rsidRDefault="00525A98" w:rsidP="00424DC7">
      <w:pPr>
        <w:rPr>
          <w:rFonts w:asciiTheme="minorHAnsi" w:hAnsiTheme="minorHAnsi"/>
        </w:rPr>
      </w:pPr>
    </w:p>
    <w:p w14:paraId="75D48C92" w14:textId="6AC8102C" w:rsidR="00881474" w:rsidRPr="00424DC7" w:rsidRDefault="003144E1" w:rsidP="00424DC7">
      <w:pPr>
        <w:rPr>
          <w:rFonts w:asciiTheme="minorHAnsi" w:hAnsiTheme="minorHAnsi"/>
        </w:rPr>
      </w:pPr>
      <w:r w:rsidRPr="00424DC7">
        <w:rPr>
          <w:rFonts w:asciiTheme="minorHAnsi" w:hAnsiTheme="minorHAnsi"/>
        </w:rPr>
        <w:lastRenderedPageBreak/>
        <w:t xml:space="preserve"> </w:t>
      </w:r>
    </w:p>
    <w:p w14:paraId="7621BD63" w14:textId="71583137" w:rsidR="00881474" w:rsidRPr="00525A98" w:rsidRDefault="003144E1" w:rsidP="00525A98">
      <w:pPr>
        <w:pStyle w:val="ListParagraph"/>
        <w:numPr>
          <w:ilvl w:val="0"/>
          <w:numId w:val="9"/>
        </w:numPr>
        <w:rPr>
          <w:rFonts w:asciiTheme="minorHAnsi" w:hAnsiTheme="minorHAnsi"/>
        </w:rPr>
      </w:pPr>
      <w:r w:rsidRPr="00525A98">
        <w:rPr>
          <w:rFonts w:asciiTheme="minorHAnsi" w:hAnsiTheme="minorHAnsi"/>
        </w:rPr>
        <w:t xml:space="preserve">Payments that correspond with Child Benefit made by – </w:t>
      </w:r>
    </w:p>
    <w:p w14:paraId="076B8504" w14:textId="77777777" w:rsidR="00881474" w:rsidRPr="00424DC7" w:rsidRDefault="003144E1" w:rsidP="00424DC7">
      <w:pPr>
        <w:rPr>
          <w:rFonts w:asciiTheme="minorHAnsi" w:hAnsiTheme="minorHAnsi"/>
        </w:rPr>
      </w:pPr>
      <w:r w:rsidRPr="00424DC7">
        <w:rPr>
          <w:rFonts w:asciiTheme="minorHAnsi" w:hAnsiTheme="minorHAnsi"/>
        </w:rPr>
        <w:t xml:space="preserve"> </w:t>
      </w:r>
    </w:p>
    <w:p w14:paraId="42DA9C48" w14:textId="792B6BD1" w:rsidR="00881474" w:rsidRPr="00525A98" w:rsidRDefault="003144E1" w:rsidP="00525A98">
      <w:pPr>
        <w:pStyle w:val="ListParagraph"/>
        <w:numPr>
          <w:ilvl w:val="0"/>
          <w:numId w:val="17"/>
        </w:numPr>
        <w:rPr>
          <w:rFonts w:asciiTheme="minorHAnsi" w:hAnsiTheme="minorHAnsi"/>
        </w:rPr>
      </w:pPr>
      <w:r w:rsidRPr="00525A98">
        <w:rPr>
          <w:rFonts w:asciiTheme="minorHAnsi" w:hAnsiTheme="minorHAnsi"/>
        </w:rPr>
        <w:t xml:space="preserve">Member State, other than the State, or </w:t>
      </w:r>
    </w:p>
    <w:p w14:paraId="57AA47FA" w14:textId="313E4213" w:rsidR="00881474" w:rsidRPr="00424DC7" w:rsidRDefault="00881474" w:rsidP="00525A98">
      <w:pPr>
        <w:ind w:firstLine="38"/>
        <w:rPr>
          <w:rFonts w:asciiTheme="minorHAnsi" w:hAnsiTheme="minorHAnsi"/>
        </w:rPr>
      </w:pPr>
    </w:p>
    <w:p w14:paraId="3A982926" w14:textId="40C7EED7" w:rsidR="00881474" w:rsidRPr="00525A98" w:rsidRDefault="00525A98" w:rsidP="00525A98">
      <w:pPr>
        <w:pStyle w:val="ListParagraph"/>
        <w:numPr>
          <w:ilvl w:val="0"/>
          <w:numId w:val="17"/>
        </w:numPr>
        <w:rPr>
          <w:rFonts w:asciiTheme="minorHAnsi" w:hAnsiTheme="minorHAnsi"/>
        </w:rPr>
      </w:pPr>
      <w:r>
        <w:rPr>
          <w:rFonts w:asciiTheme="minorHAnsi" w:hAnsiTheme="minorHAnsi"/>
        </w:rPr>
        <w:t>T</w:t>
      </w:r>
      <w:r w:rsidR="003144E1" w:rsidRPr="00525A98">
        <w:rPr>
          <w:rFonts w:asciiTheme="minorHAnsi" w:hAnsiTheme="minorHAnsi"/>
        </w:rPr>
        <w:t xml:space="preserve">he United Kingdom (under Common Travel Area arrangements); </w:t>
      </w:r>
    </w:p>
    <w:p w14:paraId="7A6F5CC9" w14:textId="77777777" w:rsidR="00881474" w:rsidRPr="00424DC7" w:rsidRDefault="003144E1" w:rsidP="00424DC7">
      <w:pPr>
        <w:rPr>
          <w:rFonts w:asciiTheme="minorHAnsi" w:hAnsiTheme="minorHAnsi"/>
        </w:rPr>
      </w:pPr>
      <w:r w:rsidRPr="00424DC7">
        <w:rPr>
          <w:rFonts w:asciiTheme="minorHAnsi" w:hAnsiTheme="minorHAnsi"/>
        </w:rPr>
        <w:t xml:space="preserve"> </w:t>
      </w:r>
    </w:p>
    <w:p w14:paraId="1D477DE3" w14:textId="69264A0D" w:rsidR="00881474" w:rsidRPr="00525A98" w:rsidRDefault="003144E1" w:rsidP="00525A98">
      <w:pPr>
        <w:pStyle w:val="ListParagraph"/>
        <w:numPr>
          <w:ilvl w:val="0"/>
          <w:numId w:val="9"/>
        </w:numPr>
        <w:rPr>
          <w:rFonts w:asciiTheme="minorHAnsi" w:hAnsiTheme="minorHAnsi"/>
        </w:rPr>
      </w:pPr>
      <w:r w:rsidRPr="00525A98">
        <w:rPr>
          <w:rFonts w:asciiTheme="minorHAnsi" w:hAnsiTheme="minorHAnsi"/>
        </w:rPr>
        <w:t xml:space="preserve">  Scholarships in respect of attending approved courses provided by approved institutions, within the meaning of sections 7 and 8 of the Student Support Act 2011 (No. 4 of 2011), respectively. </w:t>
      </w:r>
    </w:p>
    <w:sectPr w:rsidR="00881474" w:rsidRPr="00525A98" w:rsidSect="00424DC7">
      <w:headerReference w:type="default" r:id="rId7"/>
      <w:footerReference w:type="default" r:id="rId8"/>
      <w:footnotePr>
        <w:numRestart w:val="eachPage"/>
      </w:footnotePr>
      <w:pgSz w:w="11906" w:h="16838"/>
      <w:pgMar w:top="1488" w:right="1436" w:bottom="1437" w:left="1440" w:header="720" w:footer="720" w:gutter="0"/>
      <w:pgBorders w:offsetFrom="page">
        <w:top w:val="single" w:sz="18" w:space="24" w:color="00B0F0"/>
        <w:left w:val="single" w:sz="18" w:space="24" w:color="00B0F0"/>
        <w:bottom w:val="single" w:sz="18" w:space="24" w:color="00B0F0"/>
        <w:right w:val="single" w:sz="18" w:space="24" w:color="00B0F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A021F" w14:textId="77777777" w:rsidR="003144E1" w:rsidRDefault="003144E1">
      <w:pPr>
        <w:spacing w:after="0" w:line="240" w:lineRule="auto"/>
      </w:pPr>
      <w:r>
        <w:separator/>
      </w:r>
    </w:p>
  </w:endnote>
  <w:endnote w:type="continuationSeparator" w:id="0">
    <w:p w14:paraId="646B278C" w14:textId="77777777" w:rsidR="003144E1" w:rsidRDefault="00314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55EE6" w14:textId="392E09B7" w:rsidR="00F45B77" w:rsidRDefault="00F45B77" w:rsidP="00F45B77">
    <w:pPr>
      <w:pStyle w:val="Footer"/>
      <w:jc w:val="center"/>
    </w:pPr>
    <w:r>
      <w:rPr>
        <w:noProof/>
        <w:color w:val="7F2781"/>
        <w:lang w:eastAsia="en-GB"/>
      </w:rPr>
      <w:drawing>
        <wp:inline distT="0" distB="0" distL="0" distR="0" wp14:anchorId="520F66DD" wp14:editId="33EA102A">
          <wp:extent cx="2016767" cy="408940"/>
          <wp:effectExtent l="0" t="0" r="2540" b="0"/>
          <wp:docPr id="81216174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035923" cy="412824"/>
                  </a:xfrm>
                  <a:prstGeom prst="rect">
                    <a:avLst/>
                  </a:prstGeom>
                  <a:noFill/>
                  <a:ln>
                    <a:noFill/>
                    <a:prstDash/>
                  </a:ln>
                </pic:spPr>
              </pic:pic>
            </a:graphicData>
          </a:graphic>
        </wp:inline>
      </w:drawing>
    </w:r>
    <w:r>
      <w:fldChar w:fldCharType="begin"/>
    </w:r>
    <w:r>
      <w:instrText xml:space="preserve"> PAGE   \* MERGEFORMAT </w:instrText>
    </w:r>
    <w:r>
      <w:fldChar w:fldCharType="separate"/>
    </w:r>
    <w:r>
      <w:t>1</w:t>
    </w:r>
    <w:r>
      <w:fldChar w:fldCharType="end"/>
    </w:r>
    <w:r>
      <w:t xml:space="preserve"> | </w:t>
    </w:r>
    <w:r>
      <w:rPr>
        <w:color w:val="7F7F7F"/>
      </w:rPr>
      <w:t>P a g e</w:t>
    </w:r>
    <w:r>
      <w:rPr>
        <w:noProof/>
      </w:rPr>
      <w:drawing>
        <wp:inline distT="0" distB="0" distL="0" distR="0" wp14:anchorId="6ACE5973" wp14:editId="094A8FC9">
          <wp:extent cx="1939812" cy="389890"/>
          <wp:effectExtent l="0" t="0" r="0" b="0"/>
          <wp:docPr id="316903311" name="Picture 1" descr="Image: Departmen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2382842" cy="478936"/>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E30F5" w14:textId="77777777" w:rsidR="00881474" w:rsidRDefault="003144E1">
      <w:pPr>
        <w:spacing w:after="0" w:line="259" w:lineRule="auto"/>
        <w:ind w:left="0" w:right="0" w:firstLine="0"/>
        <w:jc w:val="left"/>
      </w:pPr>
      <w:r>
        <w:separator/>
      </w:r>
    </w:p>
  </w:footnote>
  <w:footnote w:type="continuationSeparator" w:id="0">
    <w:p w14:paraId="13D777D5" w14:textId="77777777" w:rsidR="00881474" w:rsidRDefault="003144E1">
      <w:pPr>
        <w:spacing w:after="0" w:line="259" w:lineRule="auto"/>
        <w:ind w:left="0"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8FFEC" w14:textId="151EA0E5" w:rsidR="003144E1" w:rsidRDefault="00F45B77" w:rsidP="00F45B77">
    <w:pPr>
      <w:pStyle w:val="Header"/>
      <w:ind w:left="0" w:firstLine="0"/>
      <w:jc w:val="left"/>
    </w:pPr>
    <w:r w:rsidRPr="00C57EB1">
      <w:rPr>
        <w:rFonts w:ascii="Aptos" w:eastAsia="Times New Roman" w:hAnsi="Aptos" w:cs="Aptos"/>
        <w:noProof/>
      </w:rPr>
      <w:drawing>
        <wp:inline distT="0" distB="0" distL="0" distR="0" wp14:anchorId="530F2F3B" wp14:editId="0893D390">
          <wp:extent cx="1400175" cy="485775"/>
          <wp:effectExtent l="0" t="0" r="0" b="9525"/>
          <wp:docPr id="1297485149" name="Picture 4" descr="A purple and yellow logo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00175" cy="4857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C426F"/>
    <w:multiLevelType w:val="hybridMultilevel"/>
    <w:tmpl w:val="6D8C0AC0"/>
    <w:lvl w:ilvl="0" w:tplc="CDA237D6">
      <w:start w:val="1"/>
      <w:numFmt w:val="upperRoman"/>
      <w:lvlText w:val="%1."/>
      <w:lvlJc w:val="right"/>
      <w:pPr>
        <w:ind w:left="1080" w:hanging="360"/>
      </w:pPr>
      <w:rPr>
        <w:b/>
        <w:bCs/>
        <w:color w:val="00B0F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671DA8"/>
    <w:multiLevelType w:val="hybridMultilevel"/>
    <w:tmpl w:val="CE5AE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C200E3"/>
    <w:multiLevelType w:val="hybridMultilevel"/>
    <w:tmpl w:val="E4704406"/>
    <w:lvl w:ilvl="0" w:tplc="21DEAD94">
      <w:start w:val="1"/>
      <w:numFmt w:val="upperLetter"/>
      <w:lvlText w:val="%1."/>
      <w:lvlJc w:val="left"/>
      <w:pPr>
        <w:ind w:left="502" w:hanging="360"/>
      </w:pPr>
      <w:rPr>
        <w:b/>
        <w:bCs/>
        <w:color w:val="00B0F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A543F"/>
    <w:multiLevelType w:val="hybridMultilevel"/>
    <w:tmpl w:val="7562BFF4"/>
    <w:lvl w:ilvl="0" w:tplc="AD064CAA">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A8F114">
      <w:start w:val="1"/>
      <w:numFmt w:val="lowerRoman"/>
      <w:lvlText w:val="(%2)"/>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0C173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90437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42D0B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B10262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DEFC8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309E4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68309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F52F26"/>
    <w:multiLevelType w:val="hybridMultilevel"/>
    <w:tmpl w:val="0922B028"/>
    <w:lvl w:ilvl="0" w:tplc="8D686A76">
      <w:start w:val="1"/>
      <w:numFmt w:val="lowerRoman"/>
      <w:lvlText w:val="%1."/>
      <w:lvlJc w:val="right"/>
      <w:pPr>
        <w:ind w:left="1080" w:hanging="360"/>
      </w:pPr>
      <w:rPr>
        <w:b/>
        <w:bCs/>
        <w:color w:val="00B0F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42C42DD"/>
    <w:multiLevelType w:val="hybridMultilevel"/>
    <w:tmpl w:val="3404D136"/>
    <w:lvl w:ilvl="0" w:tplc="96420F04">
      <w:start w:val="1"/>
      <w:numFmt w:val="upperRoman"/>
      <w:lvlText w:val="%1."/>
      <w:lvlJc w:val="right"/>
      <w:pPr>
        <w:ind w:left="1080" w:hanging="360"/>
      </w:pPr>
      <w:rPr>
        <w:b/>
        <w:bCs/>
        <w:color w:val="00B0F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FEE4CD8"/>
    <w:multiLevelType w:val="hybridMultilevel"/>
    <w:tmpl w:val="50A0A17A"/>
    <w:lvl w:ilvl="0" w:tplc="5D5C261C">
      <w:start w:val="1"/>
      <w:numFmt w:val="upperLetter"/>
      <w:lvlText w:val="%1."/>
      <w:lvlJc w:val="left"/>
      <w:pPr>
        <w:ind w:left="360" w:hanging="360"/>
      </w:pPr>
      <w:rPr>
        <w:b/>
        <w:bCs/>
        <w:color w:val="00B0F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596A1C"/>
    <w:multiLevelType w:val="hybridMultilevel"/>
    <w:tmpl w:val="85021CE6"/>
    <w:lvl w:ilvl="0" w:tplc="007E51CA">
      <w:start w:val="1"/>
      <w:numFmt w:val="lowerRoman"/>
      <w:lvlText w:val="%1."/>
      <w:lvlJc w:val="right"/>
      <w:pPr>
        <w:ind w:left="1080" w:hanging="360"/>
      </w:pPr>
      <w:rPr>
        <w:b/>
        <w:bCs/>
        <w:color w:val="00B0F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A641899"/>
    <w:multiLevelType w:val="hybridMultilevel"/>
    <w:tmpl w:val="CBA637FC"/>
    <w:lvl w:ilvl="0" w:tplc="90A8F114">
      <w:start w:val="1"/>
      <w:numFmt w:val="lowerRoman"/>
      <w:lvlText w:val="(%1)"/>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5E26F7"/>
    <w:multiLevelType w:val="hybridMultilevel"/>
    <w:tmpl w:val="3752C42E"/>
    <w:lvl w:ilvl="0" w:tplc="C7DE053C">
      <w:start w:val="1"/>
      <w:numFmt w:val="upperRoman"/>
      <w:lvlText w:val="%1."/>
      <w:lvlJc w:val="right"/>
      <w:pPr>
        <w:ind w:left="1080" w:hanging="360"/>
      </w:pPr>
      <w:rPr>
        <w:b/>
        <w:bCs/>
        <w:color w:val="00B0F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CE6546C"/>
    <w:multiLevelType w:val="hybridMultilevel"/>
    <w:tmpl w:val="48B222AC"/>
    <w:lvl w:ilvl="0" w:tplc="AA60C8D8">
      <w:start w:val="1"/>
      <w:numFmt w:val="upperRoman"/>
      <w:lvlText w:val="%1."/>
      <w:lvlJc w:val="right"/>
      <w:pPr>
        <w:ind w:left="1080" w:hanging="360"/>
      </w:pPr>
      <w:rPr>
        <w:b/>
        <w:bCs/>
        <w:color w:val="00B0F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EE86C09"/>
    <w:multiLevelType w:val="hybridMultilevel"/>
    <w:tmpl w:val="D61CA376"/>
    <w:lvl w:ilvl="0" w:tplc="08090015">
      <w:start w:val="1"/>
      <w:numFmt w:val="upp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59A25C91"/>
    <w:multiLevelType w:val="hybridMultilevel"/>
    <w:tmpl w:val="F3AA5742"/>
    <w:lvl w:ilvl="0" w:tplc="F62C7FE6">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5A1C84">
      <w:start w:val="1"/>
      <w:numFmt w:val="lowerRoman"/>
      <w:lvlText w:val="(%2)"/>
      <w:lvlJc w:val="left"/>
      <w:pPr>
        <w:ind w:left="1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D0276A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66B17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064D5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F456B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722DE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A5ED1E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E8FA7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DC625A3"/>
    <w:multiLevelType w:val="hybridMultilevel"/>
    <w:tmpl w:val="2160E19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26D064F"/>
    <w:multiLevelType w:val="hybridMultilevel"/>
    <w:tmpl w:val="3F88C076"/>
    <w:lvl w:ilvl="0" w:tplc="EDB86B34">
      <w:start w:val="1"/>
      <w:numFmt w:val="lowerRoman"/>
      <w:lvlText w:val="%1."/>
      <w:lvlJc w:val="right"/>
      <w:pPr>
        <w:ind w:left="1440" w:hanging="360"/>
      </w:pPr>
      <w:rPr>
        <w:b/>
        <w:bCs/>
        <w:color w:val="00B0F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8C74247"/>
    <w:multiLevelType w:val="hybridMultilevel"/>
    <w:tmpl w:val="440A8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266768"/>
    <w:multiLevelType w:val="hybridMultilevel"/>
    <w:tmpl w:val="B51C9678"/>
    <w:lvl w:ilvl="0" w:tplc="173C9C1A">
      <w:start w:val="1"/>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06A2EE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D720A5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8641DB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3C46AE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8367C1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D9E34D2">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3A29470">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FD0768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682440907">
    <w:abstractNumId w:val="3"/>
  </w:num>
  <w:num w:numId="2" w16cid:durableId="348021507">
    <w:abstractNumId w:val="12"/>
  </w:num>
  <w:num w:numId="3" w16cid:durableId="990255130">
    <w:abstractNumId w:val="16"/>
  </w:num>
  <w:num w:numId="4" w16cid:durableId="1986473102">
    <w:abstractNumId w:val="15"/>
  </w:num>
  <w:num w:numId="5" w16cid:durableId="1507591368">
    <w:abstractNumId w:val="2"/>
  </w:num>
  <w:num w:numId="6" w16cid:durableId="685210781">
    <w:abstractNumId w:val="14"/>
  </w:num>
  <w:num w:numId="7" w16cid:durableId="1630818691">
    <w:abstractNumId w:val="11"/>
  </w:num>
  <w:num w:numId="8" w16cid:durableId="588275328">
    <w:abstractNumId w:val="1"/>
  </w:num>
  <w:num w:numId="9" w16cid:durableId="1960989265">
    <w:abstractNumId w:val="6"/>
  </w:num>
  <w:num w:numId="10" w16cid:durableId="466900666">
    <w:abstractNumId w:val="13"/>
  </w:num>
  <w:num w:numId="11" w16cid:durableId="1148747345">
    <w:abstractNumId w:val="8"/>
  </w:num>
  <w:num w:numId="12" w16cid:durableId="348682232">
    <w:abstractNumId w:val="7"/>
  </w:num>
  <w:num w:numId="13" w16cid:durableId="986083692">
    <w:abstractNumId w:val="0"/>
  </w:num>
  <w:num w:numId="14" w16cid:durableId="2101680754">
    <w:abstractNumId w:val="4"/>
  </w:num>
  <w:num w:numId="15" w16cid:durableId="383217743">
    <w:abstractNumId w:val="9"/>
  </w:num>
  <w:num w:numId="16" w16cid:durableId="2060786140">
    <w:abstractNumId w:val="5"/>
  </w:num>
  <w:num w:numId="17" w16cid:durableId="13065413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74"/>
    <w:rsid w:val="00033304"/>
    <w:rsid w:val="000E7D3A"/>
    <w:rsid w:val="0020299E"/>
    <w:rsid w:val="0020694D"/>
    <w:rsid w:val="002172C2"/>
    <w:rsid w:val="00250458"/>
    <w:rsid w:val="003144E1"/>
    <w:rsid w:val="00386253"/>
    <w:rsid w:val="00424DC7"/>
    <w:rsid w:val="00525A98"/>
    <w:rsid w:val="0066036A"/>
    <w:rsid w:val="008103FE"/>
    <w:rsid w:val="00881474"/>
    <w:rsid w:val="009C42AE"/>
    <w:rsid w:val="00B07AE1"/>
    <w:rsid w:val="00D54E95"/>
    <w:rsid w:val="00EA238C"/>
    <w:rsid w:val="00F45B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8D215"/>
  <w15:docId w15:val="{0EA88089-DA7D-487B-B3A4-09F164CE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1"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numPr>
        <w:numId w:val="3"/>
      </w:numPr>
      <w:spacing w:after="5" w:line="250"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customStyle="1" w:styleId="footnotedescription">
    <w:name w:val="footnote description"/>
    <w:next w:val="Normal"/>
    <w:link w:val="footnotedescriptionChar"/>
    <w:hidden/>
    <w:pPr>
      <w:spacing w:after="0" w:line="259"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Header">
    <w:name w:val="header"/>
    <w:basedOn w:val="Normal"/>
    <w:link w:val="HeaderChar"/>
    <w:uiPriority w:val="99"/>
    <w:unhideWhenUsed/>
    <w:rsid w:val="00314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4E1"/>
    <w:rPr>
      <w:rFonts w:ascii="Calibri" w:eastAsia="Calibri" w:hAnsi="Calibri" w:cs="Calibri"/>
      <w:color w:val="000000"/>
    </w:rPr>
  </w:style>
  <w:style w:type="paragraph" w:styleId="Footer">
    <w:name w:val="footer"/>
    <w:basedOn w:val="Normal"/>
    <w:link w:val="FooterChar"/>
    <w:uiPriority w:val="99"/>
    <w:unhideWhenUsed/>
    <w:rsid w:val="00314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4E1"/>
    <w:rPr>
      <w:rFonts w:ascii="Calibri" w:eastAsia="Calibri" w:hAnsi="Calibri" w:cs="Calibri"/>
      <w:color w:val="000000"/>
    </w:rPr>
  </w:style>
  <w:style w:type="paragraph" w:styleId="ListParagraph">
    <w:name w:val="List Paragraph"/>
    <w:basedOn w:val="Normal"/>
    <w:uiPriority w:val="34"/>
    <w:qFormat/>
    <w:rsid w:val="00424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O'Driscoll (Housing)</dc:creator>
  <cp:keywords/>
  <cp:lastModifiedBy>Lisa McAuley</cp:lastModifiedBy>
  <cp:revision>2</cp:revision>
  <cp:lastPrinted>2024-10-17T09:22:00Z</cp:lastPrinted>
  <dcterms:created xsi:type="dcterms:W3CDTF">2024-10-17T10:18:00Z</dcterms:created>
  <dcterms:modified xsi:type="dcterms:W3CDTF">2024-10-17T10:18:00Z</dcterms:modified>
</cp:coreProperties>
</file>